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3.png" ContentType="image/png"/>
  <Override PartName="/word/media/rId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7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12">
              <w:r>
                <w:rPr>
                  <w:rStyle w:val="Hyperlink"/>
                  <w:b/>
                  <w:bCs/>
                </w:rPr>
                <w:t xml:space="preserve">Download the 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</w:p>
          <w:p>
            <w:pPr>
              <w:pStyle w:val="BodyText"/>
            </w:pPr>
            <w:pPr>
              <w:spacing w:after="16"/>
            </w:pPr>
            <w:r>
              <w:t xml:space="preserve">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will study it in Step 6 and use it as a safety net if you fall behind.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preview of the t-test you’ll run in Worksheet 09</w:t>
            </w:r>
            <w:r>
              <w:t xml:space="preserve">, already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dropped straight into the sentences with inline code, and it renders to a clean Word document. That is the payoff of everything in this activity: an analysis becomes a report that writes its own numbers. Notice you would never copy a single value by hand — and in a few weeks, this will be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analysis.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0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5"/>
    <w:bookmarkStart w:id="28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601db06dd95973244c4ebb6b7e7e6d2274c47a1"/>
    <w:p>
      <w:pPr>
        <w:pStyle w:val="Heading2"/>
      </w:pPr>
      <w:r>
        <w:t xml:space="preserve">Step 5 · Compute a result and drop it into a sentence</w:t>
      </w:r>
    </w:p>
    <w:p>
      <w:pPr>
        <w:pStyle w:val="FirstParagraph"/>
      </w:pPr>
      <w:r>
        <w:t xml:space="preserve">Add a chunk that calculates the group means: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Then, in your text, 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to insert the number automatically: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Render. The real number appears in the sentence — and you never typed it.</w:t>
      </w:r>
    </w:p>
    <w:p>
      <w:r>
        <w:pict>
          <v:rect style="width:0;height:1.5pt" o:hralign="center" o:hrstd="t" o:hr="t"/>
        </w:pict>
      </w:r>
    </w:p>
    <w:bookmarkEnd w:id="29"/>
    <w:bookmarkStart w:id="32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3"/>
    <w:bookmarkStart w:id="36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1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1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1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worksheet, in the same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 </w:t>
      </w:r>
      <w:r>
        <w:rPr>
          <w:i/>
          <w:iCs/>
        </w:rPr>
        <w:t xml:space="preserve">you built in class. This</w:t>
      </w:r>
      <w:r>
        <w:rPr>
          <w:i/>
          <w:iCs/>
        </w:rPr>
        <w:t xml:space="preserve"> </w:t>
      </w:r>
      <w:r>
        <w:rPr>
          <w:i/>
          <w:iCs/>
        </w:rPr>
        <w:t xml:space="preserve">adds Quarto features you have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seen yet — cross-references and callouts.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 in the</w:t>
            </w:r>
            <w:r>
              <w:t xml:space="preserve"> </w:t>
            </w:r>
            <w:r>
              <w:t xml:space="preserve">report.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E2 is your</w:t>
            </w:r>
            <w:r>
              <w:t xml:space="preserve"> </w:t>
            </w:r>
            <w:r>
              <w:t xml:space="preserve">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render.</w:t>
            </w:r>
          </w:p>
          <w:p/>
        </w:tc>
      </w:tr>
    </w:tbl>
    <w:bookmarkStart w:id="40" w:name="X3f9c435d42e927b60d89987787733d02684b6bb"/>
    <w:p>
      <w:pPr>
        <w:pStyle w:val="Heading2"/>
      </w:pPr>
      <w:r>
        <w:t xml:space="preserve">E1 · Cross-reference your table and figure (4 pts)</w:t>
      </w:r>
    </w:p>
    <w:p>
      <w:pPr>
        <w:pStyle w:val="FirstParagraph"/>
      </w:pPr>
      <w:r>
        <w:t xml:space="preserve">Quarto can number your table and figure and let your prose refer to them by</w:t>
      </w:r>
      <w:r>
        <w:t xml:space="preserve"> </w:t>
      </w:r>
      <w:r>
        <w:t xml:space="preserve">number automatically, so it stays correct even if you reorder things.</w:t>
      </w:r>
    </w:p>
    <w:p>
      <w:pPr>
        <w:pStyle w:val="Compact"/>
        <w:numPr>
          <w:ilvl w:val="0"/>
          <w:numId w:val="1002"/>
        </w:numPr>
      </w:pPr>
      <w:r>
        <w:t xml:space="preserve">Give your table chunk</w:t>
      </w:r>
      <w:r>
        <w:t xml:space="preserve"> 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tbl-cap: "..."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Give your figure chunk</w:t>
      </w:r>
      <w:r>
        <w:t xml:space="preserve"> </w:t>
      </w:r>
      <w:r>
        <w:rPr>
          <w:rStyle w:val="VerbatimChar"/>
        </w:rPr>
        <w:t xml:space="preserve">#| label: fig-leaf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fig-cap: "..."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 your Results prose,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 </w:t>
      </w:r>
      <w:r>
        <w:t xml:space="preserve">instead of</w:t>
      </w:r>
      <w:r>
        <w:t xml:space="preserve"> </w:t>
      </w:r>
      <w:r>
        <w:t xml:space="preserve">“the</w:t>
      </w:r>
      <w:r>
        <w:t xml:space="preserve"> </w:t>
      </w:r>
      <w:r>
        <w:t xml:space="preserve">table above”</w:t>
      </w:r>
      <w:r>
        <w:t xml:space="preserve"> </w:t>
      </w:r>
      <w:r>
        <w:t xml:space="preserve">/</w:t>
      </w:r>
      <w:r>
        <w:t xml:space="preserve"> </w:t>
      </w:r>
      <w:r>
        <w:t xml:space="preserve">“the figure below”</w:t>
      </w:r>
      <w:r>
        <w:t xml:space="preserve">. Render and check the numbers appear.</w:t>
      </w:r>
    </w:p>
    <w:p>
      <w:pPr>
        <w:pStyle w:val="Compact"/>
        <w:numPr>
          <w:ilvl w:val="0"/>
          <w:numId w:val="1002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one callout of your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::: callout-note/-warning/-tip</w:t>
      </w:r>
      <w:r>
        <w:t xml:space="preserve">) flagging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limitation of your analysis (small n, an outlier you kept, an</w:t>
      </w:r>
      <w:r>
        <w:t xml:space="preserve"> </w:t>
      </w:r>
      <w:r>
        <w:t xml:space="preserve">assumption you’re unsure of) — not a generic one.</w:t>
      </w:r>
    </w:p>
    <w:p>
      <w:pPr>
        <w:pStyle w:val="FirstParagraph"/>
      </w:pPr>
      <w:r>
        <w:t xml:space="preserve">Record the</w:t>
      </w:r>
      <w:r>
        <w:t xml:space="preserve"> </w:t>
      </w:r>
      <w:r>
        <w:rPr>
          <w:rStyle w:val="VerbatimChar"/>
        </w:rPr>
        <w:t xml:space="preserve">label:</w:t>
      </w:r>
      <w:r>
        <w:t xml:space="preserve"> </w:t>
      </w:r>
      <w:r>
        <w:t xml:space="preserve">lines you added and the exact sentence where you used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touching any chunk options:</w:t>
      </w:r>
      <w:r>
        <w:t xml:space="preserve"> </w:t>
      </w:r>
      <w:r>
        <w:t xml:space="preserve">if you added</w:t>
      </w:r>
      <w:r>
        <w:t xml:space="preserve"> </w:t>
      </w:r>
      <w:r>
        <w:rPr>
          <w:rStyle w:val="VerbatimChar"/>
        </w:rPr>
        <w:t xml:space="preserve">#| echo: false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chunk that computes your summary table (not the whole document), what</w:t>
      </w:r>
      <w:r>
        <w:t xml:space="preserve"> </w:t>
      </w:r>
      <w:r>
        <w:t xml:space="preserve">exactly changes in the rendered Word doc, and what stays identical? Be specific</w:t>
      </w:r>
      <w:r>
        <w:t xml:space="preserve"> </w:t>
      </w:r>
      <w:r>
        <w:t xml:space="preserve">about which chunks are affected. Then make the change, render, and write whether</w:t>
      </w:r>
      <w:r>
        <w:t xml:space="preserve"> </w:t>
      </w:r>
      <w:r>
        <w:t xml:space="preserve">you were right.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FirstParagraph"/>
      </w:pPr>
      <w:r>
        <w:t xml:space="preserve">As if explaining to a classmate who missed this unit:</w:t>
      </w:r>
    </w:p>
    <w:p>
      <w:pPr>
        <w:pStyle w:val="Compact"/>
        <w:numPr>
          <w:ilvl w:val="0"/>
          <w:numId w:val="1003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chunk in your own report</w:t>
      </w:r>
      <w:r>
        <w:t xml:space="preserve"> </w:t>
      </w:r>
      <w:r>
        <w:t xml:space="preserve">and say why you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way</w:t>
      </w:r>
      <w:r>
        <w:t xml:space="preserve"> </w:t>
      </w:r>
      <w:r>
        <w:t xml:space="preserve">you did for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chunk.</w:t>
      </w:r>
    </w:p>
    <w:p>
      <w:pPr>
        <w:pStyle w:val="Compact"/>
        <w:numPr>
          <w:ilvl w:val="0"/>
          <w:numId w:val="1003"/>
        </w:numPr>
      </w:pPr>
      <w:r>
        <w:t xml:space="preserve">If someone changed one number in your raw data file, walk through exactly</w:t>
      </w:r>
      <w:r>
        <w:t xml:space="preserve"> </w:t>
      </w:r>
      <w:r>
        <w:t xml:space="preserve">what happens the next time you press Render — which chunks rerun, which</w:t>
      </w:r>
      <w:r>
        <w:t xml:space="preserve"> </w:t>
      </w:r>
      <w:r>
        <w:t xml:space="preserve">outputs change, which don’t.</w:t>
      </w:r>
    </w:p>
    <w:p>
      <w:pPr>
        <w:pStyle w:val="Compact"/>
        <w:numPr>
          <w:ilvl w:val="0"/>
          <w:numId w:val="1003"/>
        </w:numPr>
      </w:pPr>
      <w:r>
        <w:t xml:space="preserve">Why is referring to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safer than typing</w:t>
      </w:r>
      <w:r>
        <w:t xml:space="preserve"> </w:t>
      </w:r>
      <w:r>
        <w:t xml:space="preserve">“Table 1”</w:t>
      </w:r>
      <w:r>
        <w:t xml:space="preserve"> </w:t>
      </w:r>
      <w:r>
        <w:t xml:space="preserve">by hand?</w:t>
      </w:r>
    </w:p>
    <w:p>
      <w:r>
        <w:pict>
          <v:rect style="width:0;height:1.5pt" o:hralign="center" o:hrstd="t" o:hr="t"/>
        </w:pict>
      </w:r>
    </w:p>
    <w:bookmarkEnd w:id="42"/>
    <w:bookmarkStart w:id="46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44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45">
        <w:r>
          <w:rPr>
            <w:rStyle w:val="Hyperlink"/>
          </w:rPr>
          <w:t xml:space="preserve">quarto.org guide</w:t>
        </w:r>
      </w:hyperlink>
    </w:p>
    <w:bookmarkEnd w:id="46"/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hyperlink" Id="rId45" Target="https://quarto.org/docs/guide/" TargetMode="External" /><Relationship Type="http://schemas.openxmlformats.org/officeDocument/2006/relationships/hyperlink" Id="rId43" Target="https://r4ds.hadley.nz/quarto" TargetMode="External" /><Relationship Type="http://schemas.openxmlformats.org/officeDocument/2006/relationships/hyperlink" Id="rId44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quarto.org/docs/guide/" TargetMode="External" /><Relationship Type="http://schemas.openxmlformats.org/officeDocument/2006/relationships/hyperlink" Id="rId43" Target="https://r4ds.hadley.nz/quarto" TargetMode="External" /><Relationship Type="http://schemas.openxmlformats.org/officeDocument/2006/relationships/hyperlink" Id="rId44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2026-09-01T21:15:42Z</dcterms:created>
  <dcterms:modified xsi:type="dcterms:W3CDTF">2026-09-01T21:15:42Z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Turn your leaf analysis into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