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  <w:r>
        <w:t xml:space="preserve"> </w:t>
      </w:r>
      <w:r>
        <w:rPr>
          <w:i/>
          <w:iCs/>
        </w:rPr>
        <w:t xml:space="preserve">Next: Common Code 06 — Advanced plotting and themes.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2026-07-03T20:28:14Z</dcterms:created>
  <dcterms:modified xsi:type="dcterms:W3CDTF">2026-07-03T20:28:14Z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Creating and transforming columns — ecological math, logarithms, and regression equations</vt:lpwstr>
  </property>
  <property fmtid="{D5CDD505-2E9C-101B-9397-08002B2CF9AE}" pid="15" name="toc-title">
    <vt:lpwstr>Table of contents</vt:lpwstr>
  </property>
  <property fmtid="{D5CDD505-2E9C-101B-9397-08002B2CF9AE}" pid="16" name="topic_number">
    <vt:lpwstr>05</vt:lpwstr>
  </property>
  <property fmtid="{D5CDD505-2E9C-101B-9397-08002B2CF9AE}" pid="17" name="type">
    <vt:lpwstr>common_code</vt:lpwstr>
  </property>
</Properties>
</file>