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4.5"/>
    <w:p>
      <w:pPr>
        <w:pStyle w:val="Heading1"/>
      </w:pPr>
      <w:r>
        <w:t xml:space="preserve">Where we left off (Lecture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8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8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8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09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09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09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t xml:space="preserve">Squaring serves two purposes:</w:t>
      </w:r>
    </w:p>
    <w:p>
      <w:pPr>
        <w:numPr>
          <w:ilvl w:val="1"/>
          <w:numId w:val="1011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1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0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0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3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3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3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4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4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4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7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7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7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7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8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19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19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0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2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2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2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2"/>
        </w:numPr>
      </w:pPr>
      <w:r>
        <w:t xml:space="preserve">📖 W&amp;S §17.4 — R²</w:t>
      </w:r>
    </w:p>
    <w:p>
      <w:pPr>
        <w:pStyle w:val="Compact"/>
        <w:numPr>
          <w:ilvl w:val="0"/>
          <w:numId w:val="1022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3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3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3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2026-07-03T20:27:54Z</dcterms:created>
  <dcterms:modified xsi:type="dcterms:W3CDTF">2026-07-03T20:27:54Z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