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26.jpg" ContentType="image/jpeg"/>
  <Override PartName="/word/media/rId60.png" ContentType="image/png"/>
  <Override PartName="/word/media/rId75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2"/>
    <w:bookmarkStart w:id="29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27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29"/>
    <w:bookmarkStart w:id="32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7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8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2"/>
    <w:bookmarkStart w:id="35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(ice_raw)       </w:t>
      </w:r>
      <w:r>
        <w:rPr>
          <w:rStyle w:val="CommentTok"/>
        </w:rPr>
        <w:t xml:space="preserve"># rows x columns - look how WIDE</w:t>
      </w:r>
    </w:p>
    <w:p>
      <w:pPr>
        <w:pStyle w:val="SourceCode"/>
      </w:pPr>
      <w:r>
        <w:rPr>
          <w:rStyle w:val="VerbatimChar"/>
        </w:rPr>
        <w:t xml:space="preserve">[1] 209  55</w:t>
      </w:r>
    </w:p>
    <w:p>
      <w:pPr>
        <w:pStyle w:val="SourceCode"/>
      </w:pPr>
      <w:r>
        <w:rPr>
          <w:rStyle w:val="NormalTok"/>
        </w:rPr>
        <w:t xml:space="preserve">ice_raw[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just the first few columns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date   X1973 X1974 X1975 X1976</w:t>
      </w:r>
      <w:r>
        <w:br/>
      </w:r>
      <w:r>
        <w:rPr>
          <w:rStyle w:val="VerbatimChar"/>
        </w:rPr>
        <w:t xml:space="preserve">  &lt;chr&gt;  &lt;dbl&gt; &lt;dbl&gt; &lt;dbl&gt; &lt;dbl&gt;</w:t>
      </w:r>
      <w:r>
        <w:br/>
      </w:r>
      <w:r>
        <w:rPr>
          <w:rStyle w:val="VerbatimChar"/>
        </w:rPr>
        <w:t xml:space="preserve">1 Nov-10    NA    NA    NA    NA</w:t>
      </w:r>
      <w:r>
        <w:br/>
      </w:r>
      <w:r>
        <w:rPr>
          <w:rStyle w:val="VerbatimChar"/>
        </w:rPr>
        <w:t xml:space="preserve">2 Nov-11    NA    NA    NA    NA</w:t>
      </w:r>
      <w:r>
        <w:br/>
      </w:r>
      <w:r>
        <w:rPr>
          <w:rStyle w:val="VerbatimChar"/>
        </w:rPr>
        <w:t xml:space="preserve">3 Nov-12    NA    NA    NA    NA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here — the file isn’t comma-separated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says which placeholders really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09"/>
        </w:numPr>
      </w:pPr>
      <w:r>
        <w:t xml:space="preserve">The day labels (</w:t>
      </w:r>
      <w:r>
        <w:rPr>
          <w:rStyle w:val="VerbatimChar"/>
        </w:rPr>
        <w:t xml:space="preserve">Nov-10</w:t>
      </w:r>
      <w:r>
        <w:t xml:space="preserve">…) were</w:t>
      </w:r>
      <w:r>
        <w:t xml:space="preserve"> </w:t>
      </w:r>
      <w:r>
        <w:rPr>
          <w:b/>
          <w:bCs/>
        </w:rPr>
        <w:t xml:space="preserve">row names</w:t>
      </w:r>
      <w:r>
        <w:t xml:space="preserve">, not a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Column names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—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a name can’t start with a number!</w:t>
            </w:r>
          </w:p>
          <w:p/>
        </w:tc>
      </w:tr>
    </w:tbl>
    <w:bookmarkEnd w:id="35"/>
    <w:bookmarkStart w:id="36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6"/>
    <w:bookmarkStart w:id="39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39"/>
    <w:bookmarkStart w:id="42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2"/>
    <w:bookmarkStart w:id="45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1"/>
        </w:numPr>
      </w:pPr>
      <w:r>
        <w:t xml:space="preserve">Wide: 53 columns, ~190 rows</w:t>
      </w:r>
    </w:p>
    <w:p>
      <w:pPr>
        <w:pStyle w:val="Compact"/>
        <w:numPr>
          <w:ilvl w:val="0"/>
          <w:numId w:val="1011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1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45"/>
    <w:bookmarkStart w:id="46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it by the year winter</w:t>
      </w:r>
      <w:r>
        <w:t xml:space="preserve"> </w:t>
      </w:r>
      <w:r>
        <w:rPr>
          <w:b/>
          <w:bCs/>
        </w:rPr>
        <w:t xml:space="preserve">ends</w:t>
      </w:r>
      <w:r>
        <w:t xml:space="preserve"> </w:t>
      </w:r>
      <w:r>
        <w:t xml:space="preserve">in —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really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46"/>
    <w:bookmarkStart w:id="47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47"/>
    <w:bookmarkStart w:id="50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0"/>
    <w:bookmarkStart w:id="51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3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3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1"/>
    <w:bookmarkStart w:id="52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2"/>
    <w:bookmarkStart w:id="55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55"/>
    <w:bookmarkStart w:id="56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56"/>
    <w:bookmarkStart w:id="59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59"/>
    <w:bookmarkStart w:id="63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this plot live every winter —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1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 we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from the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5"/>
        </w:numPr>
      </w:pPr>
      <w:r>
        <w:t xml:space="preserve">Each line is one year’s whole ice season, Nov → May</w:t>
      </w:r>
    </w:p>
    <w:p>
      <w:pPr>
        <w:pStyle w:val="Compact"/>
        <w:numPr>
          <w:ilvl w:val="0"/>
          <w:numId w:val="1015"/>
        </w:numPr>
      </w:pPr>
      <w:r>
        <w:t xml:space="preserve">The pattern that emerges — or doesn’t — is the climate story</w:t>
      </w:r>
    </w:p>
    <w:p>
      <w:pPr>
        <w:pStyle w:val="FirstParagraph"/>
      </w:pPr>
      <w:r>
        <w:t xml:space="preserve">A good example of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showing up in published science.</w:t>
      </w:r>
    </w:p>
    <w:bookmarkEnd w:id="63"/>
    <w:bookmarkStart w:id="64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64"/>
    <w:bookmarkStart w:id="68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6"/>
        </w:numPr>
      </w:pPr>
      <w:r>
        <w:t xml:space="preserve">Thin blue — every past year, faded so patterns stand out</w:t>
      </w:r>
    </w:p>
    <w:p>
      <w:pPr>
        <w:pStyle w:val="Compact"/>
        <w:numPr>
          <w:ilvl w:val="0"/>
          <w:numId w:val="1016"/>
        </w:numPr>
      </w:pPr>
      <w:r>
        <w:t xml:space="preserve">Thick red — the 50+ year average</w:t>
      </w:r>
    </w:p>
    <w:p>
      <w:pPr>
        <w:pStyle w:val="Compact"/>
        <w:numPr>
          <w:ilvl w:val="0"/>
          <w:numId w:val="1016"/>
        </w:numPr>
      </w:pPr>
      <w:r>
        <w:t xml:space="preserve">Thick black — this year, drawn last so it sits on top</w:t>
      </w:r>
    </w:p>
    <w:p>
      <w:pPr>
        <w:pStyle w:val="FirstParagraph"/>
      </w:pPr>
      <w:r>
        <w:t xml:space="preserve">Compare it to NOAA’s published plot — did we recreate it?</w:t>
      </w:r>
    </w:p>
    <w:bookmarkEnd w:id="68"/>
    <w:bookmarkStart w:id="71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</w:t>
            </w:r>
          </w:p>
          <w:p/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each winter’s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ice cover changed over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8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8"/>
        </w:numPr>
      </w:pPr>
      <w:r>
        <w:t xml:space="preserve">1979’s max was ~97%, on Feb 25 — almost total coverage</w:t>
      </w:r>
    </w:p>
    <w:bookmarkEnd w:id="71"/>
    <w:bookmarkStart w:id="74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the Regression lecture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= percentage points of max ice gained or lost per year</w:t>
      </w:r>
    </w:p>
    <w:p>
      <w:pPr>
        <w:pStyle w:val="Compact"/>
        <w:numPr>
          <w:ilvl w:val="0"/>
          <w:numId w:val="1019"/>
        </w:numPr>
      </w:pPr>
      <w:r>
        <w:t xml:space="preserve">Read the slope’s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to decide if the trend is real</w:t>
      </w:r>
    </w:p>
    <w:p>
      <w:pPr>
        <w:pStyle w:val="Compact"/>
        <w:numPr>
          <w:ilvl w:val="0"/>
          <w:numId w:val="1019"/>
        </w:numPr>
      </w:pPr>
      <w:r>
        <w:t xml:space="preserve">Then read the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— it is small here</w:t>
      </w:r>
    </w:p>
    <w:p>
      <w:pPr>
        <w:pStyle w:val="Compact"/>
        <w:numPr>
          <w:ilvl w:val="1"/>
          <w:numId w:val="1020"/>
        </w:numPr>
      </w:pPr>
      <w:r>
        <w:t xml:space="preserve">the trend is real, and it explains only a slice of the variation</w:t>
      </w:r>
    </w:p>
    <w:p>
      <w:pPr>
        <w:pStyle w:val="Compact"/>
        <w:numPr>
          <w:ilvl w:val="1"/>
          <w:numId w:val="1020"/>
        </w:numPr>
      </w:pPr>
      <w:r>
        <w:t xml:space="preserve">both numbers, or you have told half the story</w:t>
      </w:r>
    </w:p>
    <w:bookmarkEnd w:id="74"/>
    <w:bookmarkStart w:id="78" w:name="plot-the-trend"/>
    <w:p>
      <w:pPr>
        <w:pStyle w:val="Heading1"/>
      </w:pPr>
      <w:r>
        <w:t xml:space="preserve">Plot the Trend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5908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1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</w:p>
    <w:p>
      <w:pPr>
        <w:pStyle w:val="Compact"/>
        <w:numPr>
          <w:ilvl w:val="1"/>
          <w:numId w:val="1022"/>
        </w:numPr>
      </w:pPr>
      <w:r>
        <w:t xml:space="preserve">Great Lakes ice is famously variable</w:t>
      </w:r>
    </w:p>
    <w:p>
      <w:pPr>
        <w:pStyle w:val="Compact"/>
        <w:numPr>
          <w:ilvl w:val="1"/>
          <w:numId w:val="1022"/>
        </w:numPr>
      </w:pPr>
      <w:r>
        <w:t xml:space="preserve">driven by short-term weather — ENSO, the polar vortex</w:t>
      </w:r>
    </w:p>
    <w:p>
      <w:pPr>
        <w:pStyle w:val="Compact"/>
        <w:numPr>
          <w:ilvl w:val="1"/>
          <w:numId w:val="1022"/>
        </w:numPr>
      </w:pPr>
      <w:r>
        <w:t xml:space="preserve">not just a steady climate trend</w:t>
      </w:r>
    </w:p>
    <w:p>
      <w:pPr>
        <w:pStyle w:val="Compact"/>
        <w:numPr>
          <w:ilvl w:val="0"/>
          <w:numId w:val="1021"/>
        </w:numPr>
      </w:pPr>
      <w:r>
        <w:t xml:space="preserve">This is real data</w:t>
      </w:r>
    </w:p>
    <w:p>
      <w:pPr>
        <w:pStyle w:val="Compact"/>
        <w:numPr>
          <w:ilvl w:val="1"/>
          <w:numId w:val="1023"/>
        </w:numPr>
      </w:pPr>
      <w:r>
        <w:t xml:space="preserve">the story is messier, and more honest, than a clean line</w:t>
      </w:r>
    </w:p>
    <w:bookmarkEnd w:id="78"/>
    <w:bookmarkStart w:id="79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pairs,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4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7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Lecture 16: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two tables that each hold half the story</w:t>
      </w:r>
    </w:p>
    <w:p>
      <w:pPr>
        <w:pStyle w:val="Compact"/>
        <w:numPr>
          <w:ilvl w:val="0"/>
          <w:numId w:val="1028"/>
        </w:numPr>
      </w:pPr>
      <w:r>
        <w:t xml:space="preserve">Homework: the same pivot workflow on a Great Lake of your choice</w:t>
      </w:r>
    </w:p>
    <w:bookmarkEnd w:id="8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jpg" /><Relationship Type="http://schemas.openxmlformats.org/officeDocument/2006/relationships/image" Id="rId60" Target="media/rId60.png" /><Relationship Type="http://schemas.openxmlformats.org/officeDocument/2006/relationships/image" Id="rId75" Target="media/rId75.png" /><Relationship Type="http://schemas.openxmlformats.org/officeDocument/2006/relationships/image" Id="rId65" Target="media/rId65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2026-10-20T00:52:12Z</dcterms:created>
  <dcterms:modified xsi:type="dcterms:W3CDTF">2026-10-20T00:52:12Z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