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fastest way to check that your grouping variables have the</w:t>
      </w:r>
      <w:r>
        <w:t xml:space="preserve"> </w:t>
      </w:r>
      <w:r>
        <w:t xml:space="preserve">right levels 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 and creating new columns.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2026-07-05T19:44:01Z</dcterms:created>
  <dcterms:modified xsi:type="dcterms:W3CDTF">2026-07-05T19:44:01Z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Subsetting rows with filter() and columns with select() using dplyr</vt:lpwstr>
  </property>
  <property fmtid="{D5CDD505-2E9C-101B-9397-08002B2CF9AE}" pid="15" name="toc-title">
    <vt:lpwstr>Table of contents</vt:lpwstr>
  </property>
  <property fmtid="{D5CDD505-2E9C-101B-9397-08002B2CF9AE}" pid="16" name="topic_number">
    <vt:lpwstr>04</vt:lpwstr>
  </property>
  <property fmtid="{D5CDD505-2E9C-101B-9397-08002B2CF9AE}" pid="17" name="type">
    <vt:lpwstr>common_code</vt:lpwstr>
  </property>
</Properties>
</file>