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4.5"/>
    <w:p>
      <w:pPr>
        <w:pStyle w:val="Heading1"/>
      </w:pPr>
      <w:r>
        <w:t xml:space="preserve">Where we left off (Lecture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8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8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8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09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09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09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w:r>
        <w:t xml:space="preserve">Squaring serves two purposes:</w:t>
      </w:r>
    </w:p>
    <w:p>
      <w:pPr>
        <w:numPr>
          <w:ilvl w:val="1"/>
          <w:numId w:val="1011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1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0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0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gressions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3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3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3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4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4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4"/>
        </w:numPr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7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7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7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7"/>
        </w:numPr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gressions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gressions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1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18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gressions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19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19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0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2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2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2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2"/>
        </w:numPr>
      </w:pPr>
      <w:r>
        <w:t xml:space="preserve">📖 W&amp;S §17.4 — R²</w:t>
      </w:r>
    </w:p>
    <w:p>
      <w:pPr>
        <w:pStyle w:val="Compact"/>
        <w:numPr>
          <w:ilvl w:val="0"/>
          <w:numId w:val="1022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3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3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3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dc:description>How to do regressions and test assumptions and interpret and calculate.</dc:description>
  <cp:keywords/>
  <dcterms:created xsi:type="dcterms:W3CDTF">2026-07-02T22:43:00Z</dcterms:created>
  <dcterms:modified xsi:type="dcterms:W3CDTF">2026-07-02T22:43:00Z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