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团队 Java 代码规范</w:t>
      </w:r>
    </w:p>
    <w:p>
      <w:pPr>
        <w:pStyle w:val="Heading1"/>
      </w:pPr>
      <w:r>
        <w:t>1. Java 代码规范</w:t>
      </w:r>
    </w:p>
    <w:p>
      <w:pPr>
        <w:pStyle w:val="ListBullet"/>
      </w:pPr>
      <w:r>
        <w:t>类名必须使用大驼峰命名。</w:t>
      </w:r>
    </w:p>
    <w:p>
      <w:pPr>
        <w:pStyle w:val="ListBullet"/>
      </w:pPr>
      <w:r>
        <w:t>单个方法不得超过80行。</w:t>
      </w:r>
    </w:p>
    <w:p>
      <w:pPr>
        <w:pStyle w:val="ListBullet"/>
      </w:pPr>
      <w:r>
        <w:t>禁止使用System.out.println。</w:t>
      </w:r>
    </w:p>
    <w:p>
      <w:pPr>
        <w:pStyle w:val="ListBullet"/>
      </w:pPr>
      <w:r>
        <w:t>不得硬编码密码或Token。</w:t>
      </w:r>
    </w:p>
    <w:p>
      <w:pPr>
        <w:pStyle w:val="ListBullet"/>
      </w:pPr>
      <w:r>
        <w:t>单元测试覆盖率不得低于80%。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类名</w:t>
            </w:r>
          </w:p>
        </w:tc>
        <w:tc>
          <w:tcPr>
            <w:tcW w:type="dxa" w:w="2880"/>
          </w:tcPr>
          <w:p>
            <w:r>
              <w:t>必须使用大驼峰</w:t>
            </w:r>
          </w:p>
        </w:tc>
        <w:tc>
          <w:tcPr>
            <w:tcW w:type="dxa" w:w="2880"/>
          </w:tcPr>
          <w:p>
            <w:r>
              <w:t>UserService</w:t>
            </w:r>
          </w:p>
        </w:tc>
      </w:tr>
      <w:tr>
        <w:tc>
          <w:tcPr>
            <w:tcW w:type="dxa" w:w="2880"/>
          </w:tcPr>
          <w:p>
            <w:r>
              <w:t>方法长度</w:t>
            </w:r>
          </w:p>
        </w:tc>
        <w:tc>
          <w:tcPr>
            <w:tcW w:type="dxa" w:w="2880"/>
          </w:tcPr>
          <w:p>
            <w:r>
              <w:t>不得超过80行</w:t>
            </w:r>
          </w:p>
        </w:tc>
        <w:tc>
          <w:tcPr>
            <w:tcW w:type="dxa" w:w="2880"/>
          </w:tcPr>
          <w:p>
            <w:r>
              <w:t>calculateTotal</w:t>
            </w:r>
          </w:p>
        </w:tc>
      </w:tr>
    </w:tbl>
    <w:p>
      <w:r>
        <w:br w:type="page"/>
      </w:r>
    </w:p>
    <w:p>
      <w:pPr>
        <w:pStyle w:val="Heading1"/>
      </w:pPr>
      <w:r>
        <w:t>2. 正确示例与错误示例</w:t>
      </w:r>
    </w:p>
    <w:p>
      <w:pPr>
        <w:pStyle w:val="Code"/>
      </w:pPr>
      <w:r>
        <w:t>正确示例：public class UserService {}</w:t>
      </w:r>
    </w:p>
    <w:p>
      <w:pPr>
        <w:pStyle w:val="Code"/>
      </w:pPr>
      <w:r>
        <w:t>错误示例：public class user_service {}</w:t>
      </w:r>
    </w:p>
    <w:p>
      <w:pPr>
        <w:pStyle w:val="Code"/>
      </w:pPr>
      <w:r>
        <w:t>正确示例：logger.info("created");</w:t>
      </w:r>
    </w:p>
    <w:p>
      <w:pPr>
        <w:pStyle w:val="Code"/>
      </w:pPr>
      <w:r>
        <w:t>错误示例：System.out.println("created");</w:t>
      </w:r>
    </w:p>
    <w:p>
      <w:pPr>
        <w:pStyle w:val="Code"/>
      </w:pPr>
      <w:r>
        <w:t>安全要求：不得硬编码密码或Token。</w:t>
      </w:r>
    </w:p>
    <w:p>
      <w:pPr>
        <w:pStyle w:val="Code"/>
      </w:pPr>
      <w:r>
        <w:t>测试要求：单元测试覆盖率不得低于80%。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Menlo" w:hAnsi="Menl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