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40" w:lineRule="auto" w:before="0" w:after="0"/>
        <w:jc w:val="center"/>
      </w:pPr>
      <w:r>
        <w:rPr>
          <w:rFonts w:ascii="Times New Roman" w:hAnsi="Times New Roman" w:eastAsia="STHeiti"/>
          <w:b/>
          <w:sz w:val="56"/>
        </w:rPr>
        <w:t>实践报告</w:t>
      </w:r>
    </w:p>
    <w:p/>
    <w:p/>
    <w:p/>
    <w:p>
      <w:pPr>
        <w:spacing w:line="240" w:lineRule="auto" w:before="0" w:after="0"/>
        <w:jc w:val="center"/>
      </w:pPr>
      <w:r>
        <w:rPr>
          <w:rFonts w:ascii="Times New Roman" w:hAnsi="Times New Roman" w:eastAsia="STHeiti"/>
          <w:b/>
          <w:sz w:val="44"/>
        </w:rPr>
        <w:t>ZYRelay DocIntelligence 文档智能平台</w:t>
        <w:br/>
        <w:t>基于 0.6 版本的迭代优化实践</w:t>
      </w:r>
    </w:p>
    <w:p/>
    <w:p/>
    <w:p/>
    <w:p/>
    <w:p/>
    <w:p/>
    <w:p/>
    <w:p/>
    <w:p>
      <w:pPr>
        <w:spacing w:line="240" w:lineRule="auto" w:before="0" w:after="140"/>
        <w:jc w:val="center"/>
      </w:pPr>
      <w:r>
        <w:rPr>
          <w:rFonts w:ascii="Times New Roman" w:hAnsi="Times New Roman" w:eastAsia="Songti SC"/>
          <w:b w:val="0"/>
          <w:sz w:val="28"/>
        </w:rPr>
        <w:t>课题名称：ZYRelay DocIntelligence 文档智能平台实践</w:t>
      </w:r>
    </w:p>
    <w:p>
      <w:pPr>
        <w:spacing w:line="240" w:lineRule="auto" w:before="0" w:after="140"/>
        <w:jc w:val="center"/>
      </w:pPr>
      <w:r>
        <w:rPr>
          <w:rFonts w:ascii="Times New Roman" w:hAnsi="Times New Roman" w:eastAsia="Songti SC"/>
          <w:b w:val="0"/>
          <w:sz w:val="28"/>
        </w:rPr>
        <w:t>实践单位：____________________________</w:t>
      </w:r>
    </w:p>
    <w:p>
      <w:pPr>
        <w:spacing w:line="240" w:lineRule="auto" w:before="0" w:after="140"/>
        <w:jc w:val="center"/>
      </w:pPr>
      <w:r>
        <w:rPr>
          <w:rFonts w:ascii="Times New Roman" w:hAnsi="Times New Roman" w:eastAsia="Songti SC"/>
          <w:b w:val="0"/>
          <w:sz w:val="28"/>
        </w:rPr>
        <w:t>团队成员：____________________________（姓名+学号+院系）</w:t>
      </w:r>
    </w:p>
    <w:p>
      <w:pPr>
        <w:spacing w:line="240" w:lineRule="auto" w:before="0" w:after="140"/>
        <w:jc w:val="center"/>
      </w:pPr>
      <w:r>
        <w:rPr>
          <w:rFonts w:ascii="Times New Roman" w:hAnsi="Times New Roman" w:eastAsia="Songti SC"/>
          <w:b w:val="0"/>
          <w:sz w:val="28"/>
        </w:rPr>
        <w:t>实践指导教师：____________________________</w:t>
      </w:r>
    </w:p>
    <w:p>
      <w:pPr>
        <w:spacing w:line="240" w:lineRule="auto" w:before="0" w:after="140"/>
        <w:jc w:val="center"/>
      </w:pPr>
      <w:r>
        <w:rPr>
          <w:rFonts w:ascii="Times New Roman" w:hAnsi="Times New Roman" w:eastAsia="Songti SC"/>
          <w:b w:val="0"/>
          <w:sz w:val="28"/>
        </w:rPr>
        <w:t>完成日期：2026 年 8 月</w:t>
      </w:r>
    </w:p>
    <w:p>
      <w:r>
        <w:br w:type="page"/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摘  要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本实践围绕企业 PDF、DOCX 文档的结构化处理需求，持续建设 ZYRelay DocIntelligence。系统的基本职责是将合同、制度、团队代码规范等非结构化文本转换为可验证、可追溯的标准 JSON Package，为上层检索、代码评审、知识服务和业务系统提供稳定输入，而不承担智能体决策、知识图谱存储或复杂推理。在 0.6 版本已具备本地 OCR、版面分析、表格识别、语言识别、实体识别和代码块检测等资源插件的基础上，本次实践进一步完善模型路由、企业资源配置、语义对象、对象级 provenance、插件治理、配置版本控制、运行记录、基准测试和部署能力。系统坚持规则优先：标签词典、正则规则和 Ground 配置是权威来源；模型只提供辅助元数据，模型不可用时以启发式资源回退，并将原因写入执行记录。测试表明，当前离线测试共 75 项通过；合同基准的 6 个案例均完成或以受控降级完成；证据校验和 provenance 校验均为 100%。同时，项目如实保留了覆盖率 84%、扫描件场景的语义完整率和预期命中率仍需提高等问题。实践结果说明，面向企业文档智能的首要工作不是追求不可解释的生成能力，而是先建立可配置、可定位、可复核的处理链路。</w:t>
      </w:r>
    </w:p>
    <w:p>
      <w:pPr>
        <w:spacing w:line="240" w:lineRule="auto" w:before="80" w:after="120"/>
      </w:pPr>
      <w:r>
        <w:rPr>
          <w:rFonts w:ascii="Times New Roman" w:hAnsi="Times New Roman" w:eastAsia="Songti SC"/>
          <w:b/>
          <w:sz w:val="23"/>
        </w:rPr>
        <w:t>关键词：</w:t>
      </w:r>
      <w:r>
        <w:rPr>
          <w:rFonts w:ascii="Times New Roman" w:hAnsi="Times New Roman" w:eastAsia="Songti SC"/>
          <w:b w:val="0"/>
          <w:sz w:val="23"/>
        </w:rPr>
        <w:t>文档智能；规则优先；语义对象；资源插件；原文追溯；UOM Package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1  课题背景与实践目标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企业日常积累的合同、采购文件、制度、操作手册和团队开发规范，大多以 PDF、DOCX 等文本型非结构化文件保存。传统文件管理通常只能按文件名或全文关键词检索，无法稳定回答某个合同编号出现在哪一页、某项代码规则依据是什么、某个实体或金额是否来自可复核的原文。对于后续的审批、审计、研发治理和知识服务而言，缺少原文证据的结构化结果价值有限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ZYRelay 的定位是企业文档智能的基础层。它不直接替代业务系统，也不将文档内容自动写入知识图谱。它负责把文件解析为页面和逻辑块，按 YAML 配置识别标签，形成语义索引和业务对象候选，并在每个结果上保留页码、文本块、起止 offset、规则、Ground 快照、资源计划和执行记录。这样，上层系统可以消费结构化对象，同时仍能回到原始文本进行人工核对。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本实践的目标包括四个方面：第一，保持 PDF、DOCX 的稳定解析与统一 block 输出；第二，以规则和词典为主完成字段、实体和代码规范提取；第三，将模型能力限制在 OCR、语言、版面、表格、NER 等辅助环节；第四，建立从配置选择、资源调用到 UOM 输出的完整记录，使处理结果可复现、可解释、可维护。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2  0.6 版本基础与本次实践范围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0.6 版本已经完成了本地轻量资源插件的接入。系统为 OCR、文档分类、语言检测、版面分析、表格识别、代码块检测、拼写校正和 NER 提供统一的资源接口。每个资源可以报告可用性、健康状态、版本和元数据，并在执行时生成 ModelExecution、ResourcePlan 和 Provenance。对于无法安装或无法加载的模型，系统使用 NoOp 或启发式实现，保证文档解析和规则提取不因辅助模型异常而整体失败。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0.6 的重点是“模型资源可以接入流水线”。但是，单纯接入模型仍不足以支持真实团队使用。如果没有清晰的选择条件，同一份 DOCX 可能无意义地触发 OCR；如果没有资源范围和版本记录，不同企业、团队或环境得到的结果难以说明差异；如果没有稳定语义对象和对象级证据，下游系统只能处理松散的 JSON 字段，无法建立可靠的数据消费边界。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因此，本次在 0.6 之后的优化没有推翻原有流水线，而是在固定架构内补充治理能力。主路径仍然是 GroundChoose、ResourcePlan、解析器、AI 资源插件、规则引擎、语义对象、业务对象、证据验证、Provenance 和 UOM Package。新增内容的原则是字段可选、配置可扩展、结果可追溯，不改变既有上传、查询和插件调用接口的基本行为。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3  总体架构与处理流程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系统采用固定同步流水线，而不是工作流引擎。GroundChoose 先根据企业、团队、项目、模式和文档类型选择规则配置；ResourcePlan 再根据配置选择解析器、OCR 和辅助模型；解析器生成原始页面和元素；模型只在满足条件时执行；规则引擎在统一 blocks 上完成标签识别；最后生成 semantic_index、业务对象候选、语义对象、provenance 和 UOM。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阶段</w:t>
            </w:r>
          </w:p>
        </w:tc>
        <w:tc>
          <w:tcPr>
            <w:tcW w:type="dxa" w:w="2381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主要输入</w:t>
            </w:r>
          </w:p>
        </w:tc>
        <w:tc>
          <w:tcPr>
            <w:tcW w:type="dxa" w:w="2381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主要输出</w:t>
            </w:r>
          </w:p>
        </w:tc>
        <w:tc>
          <w:tcPr>
            <w:tcW w:type="dxa" w:w="2835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控制原则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GroundChoose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企业、团队、项目、模式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Ground 快照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配置优先、版本冻结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ResourcePlan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资源 YAML、健康状态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资源绑定与 fallback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可用性和兼容性检查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Parser / OCR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PDF、DOCX、扫描页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页面、元素、原文块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保留原始文本和坐标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Rule Engine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blocks、标签、规则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mentions、semantic_index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正则和词典优先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Semantic / UOM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候选、证据、执行记录</w:t>
            </w:r>
          </w:p>
        </w:tc>
        <w:tc>
          <w:tcPr>
            <w:tcW w:type="dxa" w:w="2381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语义对象和标准包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所有对象可回溯</w:t>
            </w:r>
          </w:p>
        </w:tc>
      </w:tr>
    </w:tbl>
    <w:p/>
    <w:p>
      <w:pPr>
        <w:spacing w:line="240" w:lineRule="auto" w:before="40" w:after="120"/>
        <w:jc w:val="center"/>
      </w:pPr>
      <w:r>
        <w:rPr>
          <w:rFonts w:ascii="Times New Roman" w:hAnsi="Times New Roman" w:eastAsia="Songti SC"/>
          <w:b w:val="0"/>
          <w:sz w:val="21"/>
        </w:rPr>
        <w:t>表 1  ZYRelay 固定处理流程及其输出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在文本标准化环节，系统采用 Unicode NFKC、换行和连续空格统一等可解释处理，同时保留 block.text 作为证据原文。匹配使用的 normalized_text 与 evidence 使用的原始 text 分离，offset 始终以原始文本为准。这样即使标准化改变了空格或字符形式，也不会破坏“关键词位于第几页、第几个文本块、第几个字符”的追溯能力。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4  基于 0.6 的具体优化内容</w:t>
      </w:r>
    </w:p>
    <w:p>
      <w:pPr>
        <w:spacing w:line="240" w:lineRule="auto" w:before="120" w:after="80"/>
      </w:pPr>
      <w:r>
        <w:rPr>
          <w:rFonts w:ascii="Times New Roman" w:hAnsi="Times New Roman" w:eastAsia="STHeiti"/>
          <w:b/>
          <w:sz w:val="26"/>
        </w:rPr>
        <w:t>4.1 模型路由与执行门控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后续版本增加了 ModelRouter。它不是新的调度系统，而是固定流水线中的判断器：在每个可选模型执行前，根据文档类型、是否为扫描件、是否已有规则结果、请求开关和资源健康状态，返回“执行”或“跳过”的决定。例如 DOCX 默认不触发 OCR 和视觉版面模型；原生文本 PDF 不触发 OCR；只有扫描型 PDF 且 enable_ocr 为真时才进入 OCR；拼写校正仅处理 OCR 文本；已由规则标签稳定覆盖的实体可以不调用 NER。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路由结果不是内部临时判断，而是写入 ModelExecution 和 ResourcePlan。对于每个能力，记录 planned_execution、actual_execution、skip_reason、gate_decision、输入信号、资源版本和延迟。这样，用户可以区分“模型没有安装”、“模型被禁用”和“模型按规则不需要执行”，避免把所有缺少模型输出的问题都误判为系统异常。</w:t>
      </w:r>
    </w:p>
    <w:p>
      <w:pPr>
        <w:spacing w:line="240" w:lineRule="auto" w:before="120" w:after="80"/>
      </w:pPr>
      <w:r>
        <w:rPr>
          <w:rFonts w:ascii="Times New Roman" w:hAnsi="Times New Roman" w:eastAsia="STHeiti"/>
          <w:b/>
          <w:sz w:val="26"/>
        </w:rPr>
        <w:t>4.2 企业资源管理与 YAML 覆盖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资源配置从单一默认文件扩展为企业范围配置。ResourcePlan 现在包含 enterprise_id、department_id、team_id、project_id 和 environment 字段，环境支持 dev、test、prod。资源选择采用确定的覆盖顺序：默认配置、企业配置、环境覆盖、部门覆盖、团队覆盖、项目覆盖。后一个范围只覆盖明确声明的能力，不会要求用户复制完整默认配置。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以 OCR 为例，生产环境可以配置 PaddleOCR 为主资源、NoOpOCR 为回退；测试环境可以将视觉版面或表格能力切换为启发式资源，以缩短测试时间和减少模型依赖。每次处理都保留实际选中的资源、主备列表、资源健康状态、配置版本和配置 hash。因此，当两个环境输出不同结果时，可以先比较 ResourcePlan，而不是只比较最终 JSON。</w:t>
      </w:r>
    </w:p>
    <w:p>
      <w:pPr>
        <w:spacing w:line="240" w:lineRule="auto" w:before="120" w:after="80"/>
      </w:pPr>
      <w:r>
        <w:rPr>
          <w:rFonts w:ascii="Times New Roman" w:hAnsi="Times New Roman" w:eastAsia="STHeiti"/>
          <w:b/>
          <w:sz w:val="26"/>
        </w:rPr>
        <w:t>4.3 稳定语义对象与业务对象候选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原有输出包含 labels、mentions、semantic_index 和 candidates，已经能完成合同编号、金额、日期和主体等定位。在此基础上，系统新增 semantic_objects 区块，将已有信息组织为 document_object、evidence、entity、observation、rule、relation、event 和 business_object 等统一对象。这里的“对象”不是知识图谱节点，而是可独立交换的、证据优先的数据记录。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对象 ID 由文档稳定信息、对象类型、归一化名称、页码、block 和 offset 等来源信息计算。相同文件重复处理时，同一原文位置的对象保持相同 ID；语义迁移只补充 schema_version，不重新计算 ID。对于关系和业务对象，系统只在存在明确 evidence 或 mention 来源时生成，不推断文档中没有出现的字段。</w:t>
      </w:r>
    </w:p>
    <w:p>
      <w:pPr>
        <w:spacing w:line="240" w:lineRule="auto" w:before="120" w:after="80"/>
      </w:pPr>
      <w:r>
        <w:rPr>
          <w:rFonts w:ascii="Times New Roman" w:hAnsi="Times New Roman" w:eastAsia="STHeiti"/>
          <w:b/>
          <w:sz w:val="26"/>
        </w:rPr>
        <w:t>4.4 完整 provenance 与原文追溯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对象级 provenance 是本次实践的重要补充。每个语义对象可关联 document_id、page、block_id、offset、evidence_ids、Ground snapshot、ResourcePlan、模型执行 ID、规则 ID 和创建时间。例如合同编号的 observation 可以返回匹配文本、页码、block、字符起止位置和 regex 匹配方式；代码规范 rule 则可以返回其原始段落、规则表达式、适用语言、建议工具和证据验证记录。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这种设计使 semantic_index 不再只是“关键词到文档”的索引，而是“标签代码到可定位证据”的索引。查询接口支持按 label_code、document_id 和 value 检索，并返回原文证据。上层系统可直接引用 provenance_id，在出现争议时回到原文，而不必相信无法解释的模型结论。</w:t>
      </w:r>
    </w:p>
    <w:p>
      <w:pPr>
        <w:spacing w:line="240" w:lineRule="auto" w:before="120" w:after="80"/>
      </w:pPr>
      <w:r>
        <w:rPr>
          <w:rFonts w:ascii="Times New Roman" w:hAnsi="Times New Roman" w:eastAsia="STHeiti"/>
          <w:b/>
          <w:sz w:val="26"/>
        </w:rPr>
        <w:t>4.5 插件 SDK 与运行治理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插件层继续保持 Python、HTTP 和 CLI 三种调用方式。插件 manifest 增加了 version、dependencies、configuration_schema、supported_content_types、supported_languages、license、author 和 permissions 等字段。服务端新增 health、validate、install、update、disable、enable 等生命周期接口。其中 install 和 update 只针对已部署、可信的进程内插件进行校验和重新注册，不从网络下载未知可执行代码。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运行记录方面，每个 Relay 执行保存步骤开始结束时间、状态、资源、warning、error、执行历史、重试次数和性能统计。LLM 保持默认关闭；即使将来接入兼容模型，也只能作为低置信度补充，不能覆盖高置信度规则结果。对于外部接口，系统避免返回本地内部路径和堆栈信息，上传文件名会规范化处理，文件大小通过配置限制。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5  关键数据模型与接口说明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UOM Package 顶层保持 schema_version=1.0，包含 source、mom、som、semantic_objects、bom 和 processing。MOM 保存文档和 blocks；SOM 保存标签、mentions、semantic_index、候选和代码规范；BOM 保存业务对象候选；processing 保存配置清单、模型路由、性能数据、步骤记录和 warnings。该组织方式使旧调用方继续读取原有字段，新调用方再按需要使用语义对象和运行信息，避免一次升级破坏已有集成。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接口</w:t>
            </w:r>
          </w:p>
        </w:tc>
        <w:tc>
          <w:tcPr>
            <w:tcW w:type="dxa" w:w="2948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用途</w:t>
            </w:r>
          </w:p>
        </w:tc>
        <w:tc>
          <w:tcPr>
            <w:tcW w:type="dxa" w:w="3742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主要返回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POST /api/v1/documents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上传 PDF 或 DOCX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document_id、task_id、状态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GET /documents/{id}/blocks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查看逻辑块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页码、文本、序号、offset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GET /documents/{id}/semantic-index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查看标签语义索引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label_code、匹配位置和证据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GET /documents/{id}/semantic-objects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查看稳定语义对象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对象、evidence、provenance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POST /api/v1/relay/process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企业 scope 处理入口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执行状态、资源计划、UOM 摘要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GET /api/v1/plugins/{id}/health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查看插件状态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启用状态与 manifest 校验</w:t>
            </w:r>
          </w:p>
        </w:tc>
      </w:tr>
    </w:tbl>
    <w:p/>
    <w:p>
      <w:pPr>
        <w:spacing w:line="240" w:lineRule="auto" w:before="40" w:after="120"/>
        <w:jc w:val="center"/>
      </w:pPr>
      <w:r>
        <w:rPr>
          <w:rFonts w:ascii="Times New Roman" w:hAnsi="Times New Roman" w:eastAsia="Songti SC"/>
          <w:b w:val="0"/>
          <w:sz w:val="21"/>
        </w:rPr>
        <w:t>表 2  主要接口及返回内容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在直接展示时，可通过 FastAPI Swagger 页面完成上传、Relay 处理和查询。实际演示宜选择一份含合同编号、甲乙方、金额、日期和多页正文的合同样例：先展示上传后的 pages 和 blocks，再展示 contract_no 的 semantic_index，然后打开 semantic_object 和 provenance，最后展示 Contract business_object candidate 的 attributes 来源。这样可以完整说明系统从原文到结构化结果的过程。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6  测试设计与实践结果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测试采用离线方式，不依赖外部模型服务或网络。单元测试覆盖 PDF 文本提取、DOCX 段落与表格提取、block 顺序、标签正则匹配、别名匹配、offset、semantic_index 聚合、业务对象候选、UOM 序列化、上传 API、查询 API、插件契约、模型路由、企业资源 scope 和语义对象迁移。对于 OCR、GLiNER、DocLayout 等可选依赖，测试重点验证资源健康、回退行为和输出格式，而非要求所有平台都下载模型权重。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本次实际运行 .venv-paddleocr 环境中的 pytest -m 'not slow'，离线测试 75 项通过。slow 标记的真实 OCR 集成用例未纳入这一轮完整回归，因此报告不将其表述为已验证。Ruff lint 和 format 检查通过；公共数据模型、资源模型、Relay 请求模型和插件生命周期接口的类型检查通过。完整严格 mypy 仍存在历史类型债务，因此当前 CI 对公共契约实施类型检查，并将全库严格类型治理列为后续工作。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基准测试选取合同类案例执行，6 个案例均完成或以受控 fallback 完成。平均端到端耗时约 4417 毫秒，范围为 3582 至 5190 毫秒；平均 traced Python 峰值内存约 9.3 MB，范围为 1.1 至 27.4 MB。证据有效率和 provenance 有效率均为 100%。这些数据仅反映当前本地环境和样例集，不能直接推广为所有文档或所有硬件环境的性能结论。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56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relay_practice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5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jc w:val="center"/>
      </w:pPr>
      <w:r>
        <w:rPr>
          <w:rFonts w:ascii="Times New Roman" w:hAnsi="Times New Roman" w:eastAsia="Songti SC"/>
          <w:b w:val="0"/>
          <w:sz w:val="21"/>
        </w:rPr>
        <w:t>图 1  当前离线验证中的主要质量指标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验证项</w:t>
            </w:r>
          </w:p>
        </w:tc>
        <w:tc>
          <w:tcPr>
            <w:tcW w:type="dxa" w:w="2268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实际结果</w:t>
            </w:r>
          </w:p>
        </w:tc>
        <w:tc>
          <w:tcPr>
            <w:tcW w:type="dxa" w:w="4762"/>
            <w:shd w:fill="D9EAF7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Songti SC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离线回归测试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75 项通过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不包含 slow 真实 OCR 集成用例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合同基准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6/6 完成或受控降级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保留 fallback 和 warning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证据有效率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100%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结构化结果可回到原文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Provenance 有效率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100%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对象存在溯源记录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全包代码覆盖率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84%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未达到 95% 目标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预期命中率均值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75%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扫描件与 fallback 仍需优化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语义证据完整率均值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67%</w:t>
            </w:r>
          </w:p>
        </w:tc>
        <w:tc>
          <w:tcPr>
            <w:tcW w:type="dxa" w:w="4762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Songti SC"/>
                <w:b w:val="0"/>
                <w:sz w:val="21"/>
              </w:rPr>
              <w:t>需补充边界场景测试与规则</w:t>
            </w:r>
          </w:p>
        </w:tc>
      </w:tr>
    </w:tbl>
    <w:p/>
    <w:p>
      <w:pPr>
        <w:spacing w:line="240" w:lineRule="auto" w:before="40" w:after="120"/>
        <w:jc w:val="center"/>
      </w:pPr>
      <w:r>
        <w:rPr>
          <w:rFonts w:ascii="Times New Roman" w:hAnsi="Times New Roman" w:eastAsia="Songti SC"/>
          <w:b w:val="0"/>
          <w:sz w:val="21"/>
        </w:rPr>
        <w:t>表 3  实践验证结果与限制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7  结果分析与实践体会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从实践结果看，规则优先方法适合作为企业文档智能的第一层能力。合同编号、金额、日期、主体和规范性表达等内容，通常具有较稳定的标题、别名或表达形式。通过 YAML 标签、正则和别名识别，可以得到较高置信度和清晰证据。相比直接让模型给出摘要或结论，这种方式更便于维护：业务人员可以修改配置，研发人员可以测试规则，审计人员可以复核原文。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轻量模型的价值主要在规则难以覆盖的辅助信息。例如 OCR 为扫描页恢复文本，语言检测帮助标注中英文混合块，代码检测帮助区分配置片段与普通段落，NER 为规则未覆盖的明确实体提供候选。模型结果并不直接成为 Ground Truth，而是作为 block 元数据或低置信度 observation 保存。这样即使模型缺失、版本不兼容或推理失败，系统仍能依赖解析器和规则完成基本处理。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实践也发现，最难的问题不是增加模型数量，而是确定模型何时应执行以及结果如何解释。如果不做门控，模型调用会增加耗时和不稳定性；如果不记录 fallback，用户会误以为模型已经正确执行；如果不固定对象 ID 和配置 hash，结果难以做回归比较。因此本次把 ModelRouter、ResourcePlan、Ground Snapshot 和 Provenance 放在同等重要的位置。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目前的指标也说明系统仍处于持续完善阶段。84% 覆盖率低于 95% 目标；扫描件和回退场景会拉低预期命中率与语义证据完整率。后续优化不能靠提高模型温度或生成更多字段，而应补齐样例、规则、证据验证和离线回归，逐项提高可测的结果质量。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8  结论与下一步计划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本实践在 0.6 版本基础上完成了面向工程化使用的增量升级。系统没有改变原有 Rule First 主线，而是补齐了模型门控、企业资源范围、语义对象稳定性、对象级溯源、插件治理、配置中心、运行观测、基准测试和部署文档。升级后的系统能够将 PDF、DOCX 文档输出为带有页码、block、offset、规则和执行信息的标准 UOM Package，为上层应用提供可信的文档结构化输入。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下一步计划包括：第一，针对扫描 PDF、表格和复杂版面增加可重复的标注样例，提升 OCR 后的标签与证据完整率；第二，补充 ResourcePlan 环境覆盖、异常回退和插件生命周期的测试，提高整体覆盖率；第三，逐步解决全库严格 mypy 的历史类型问题；第四，完善模型缓存校验和离线安装说明；第五，根据真实企业文档反馈扩展 YAML 标签和业务对象规则，但仍保持所有新增语义结果必须具备原文证据。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总体而言，ZYRelay 的价值不在于自动替人做最终业务判断，而在于把文档中的关键信息稳定地提取出来，把每个结果准确地指回原文，并把处理过程中使用的配置和资源记录下来。这一能力是后续代码评审、知识服务、业务审核和智能应用可靠使用文档数据的基础。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参考文献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[1] Python Software Foundation. Python Documentation[EB/OL]. https://docs.python.org/.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[2] FastAPI. FastAPI Documentation[EB/OL]. https://fastapi.tiangolo.com/.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[3] Pydantic. Pydantic Documentation[EB/OL]. https://docs.pydantic.dev/.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[4] PyMuPDF. PyMuPDF Documentation[EB/OL]. https://pymupdf.readthedocs.io/.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[5] python-docx. python-docx Documentation[EB/OL]. https://python-docx.readthedocs.io/.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[6] YAML Language Development Team. YAML Specification[EB/OL]. https://yaml.org/.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[7] PaddlePaddle. PaddleOCR Project Documentation[EB/OL]. https://github.com/PaddlePaddle/PaddleOCR.</w:t>
      </w:r>
    </w:p>
    <w:p>
      <w:pPr>
        <w:spacing w:line="240" w:lineRule="auto" w:before="0" w:after="40"/>
      </w:pPr>
      <w:r>
        <w:rPr>
          <w:rFonts w:ascii="Times New Roman" w:hAnsi="Times New Roman" w:eastAsia="Songti SC"/>
          <w:b w:val="0"/>
          <w:sz w:val="21"/>
        </w:rPr>
        <w:t>[8] ZYRelay DocIntelligence 项目文档：README、Architecture、ResourceManager、Benchmark、测试与基准记录[Z]. 2026.</w:t>
      </w:r>
    </w:p>
    <w:p>
      <w:pPr>
        <w:spacing w:line="240" w:lineRule="auto" w:before="200" w:after="80"/>
      </w:pPr>
      <w:r>
        <w:rPr>
          <w:rFonts w:ascii="Times New Roman" w:hAnsi="Times New Roman" w:eastAsia="STHeiti"/>
          <w:b/>
          <w:sz w:val="30"/>
        </w:rPr>
        <w:t>附录 A  课题分工与实践体会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建议在最终提交前由团队补充真实分工。例如：成员 A 负责 PDF/DOCX 解析、统一 blocks 和标签规则；成员 B 负责资源插件、OCR 门控、模型回退与模型缓存；成员 C 负责语义对象、provenance、UOM 接口和 API；成员 D 负责测试、基准、Docker、CI 与文档。若为个人完成，可将本段改为个人在需求分析、编码、测试和报告撰写中的具体工作。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本次实践的直接体会是：面对非结构化数据，先建立“原文—位置—规则—结果”的最小闭环，再考虑模型增强和上层应用，能够降低系统复杂度。对于需要审计和复核的企业场景，能否定位原文通常比能否生成漂亮的总结更重要。</w:t>
      </w:r>
    </w:p>
    <w:p>
      <w:pPr>
        <w:spacing w:line="240" w:lineRule="auto" w:before="0" w:after="40"/>
        <w:ind w:firstLine="420"/>
        <w:jc w:val="both"/>
      </w:pPr>
      <w:r>
        <w:rPr>
          <w:rFonts w:ascii="Times New Roman" w:hAnsi="Times New Roman" w:eastAsia="Songti SC"/>
          <w:b w:val="0"/>
          <w:sz w:val="23"/>
        </w:rPr>
        <w:t>在提交和演示时，建议围绕一个完整样例说明系统能力：先上传合同或代码规范文档，展示解析后的页数和 blocks；再查询合同编号、金额或规范规则，展示其页码、block_id、原文片段和 offset；随后打开对应的 provenance，说明本次执行选择了哪些 Ground 配置与资源插件，是否发生 fallback；最后查看 UOM Package 中的 semantic_objects 和business_objects。这样的展示顺序与系统处理顺序一致，既能说明功能，也能避免把模型辅助结果误说成最终业务结论。对于出现 warning 的样例，应如实说明其原因，例如扫描件需要 OCR、模型资源不可用后使用启发式回退，并说明规则结果仍保留而没有被模型覆盖。</w:t>
      </w:r>
    </w:p>
    <w:sectPr w:rsidR="00FC693F" w:rsidRPr="0006063C" w:rsidSect="00034616">
      <w:footerReference w:type="default" r:id="rId9"/>
      <w:pgSz w:w="11906" w:h="16838"/>
      <w:pgMar w:top="1417" w:right="1134" w:bottom="1417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Songti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THeit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THeit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THeit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ZYRelay DocIntelligence 实践报告</dc:title>
  <dc:subject>基于 0.6 版本的迭代优化实践</dc:subject>
  <dc:creator>待填写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