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5909D" w14:textId="459498D9" w:rsidR="006374D3" w:rsidRPr="00801648" w:rsidRDefault="008A7C7C" w:rsidP="008A7C7C">
      <w:pPr>
        <w:jc w:val="center"/>
        <w:rPr>
          <w:b/>
          <w:bCs/>
          <w:sz w:val="28"/>
          <w:szCs w:val="28"/>
        </w:rPr>
      </w:pPr>
      <w:r w:rsidRPr="00801648">
        <w:rPr>
          <w:b/>
          <w:bCs/>
          <w:sz w:val="28"/>
          <w:szCs w:val="28"/>
        </w:rPr>
        <w:t xml:space="preserve">Comparing </w:t>
      </w:r>
      <w:r w:rsidRPr="00801648">
        <w:rPr>
          <w:b/>
          <w:bCs/>
          <w:sz w:val="28"/>
          <w:szCs w:val="28"/>
        </w:rPr>
        <w:t xml:space="preserve">secondary traumatic stress levels (stress induced by exposure to student </w:t>
      </w:r>
      <w:r w:rsidRPr="00801648">
        <w:rPr>
          <w:b/>
          <w:bCs/>
          <w:sz w:val="28"/>
          <w:szCs w:val="28"/>
        </w:rPr>
        <w:t>trauma) to</w:t>
      </w:r>
      <w:r w:rsidRPr="00801648">
        <w:rPr>
          <w:b/>
          <w:bCs/>
          <w:sz w:val="28"/>
          <w:szCs w:val="28"/>
        </w:rPr>
        <w:t xml:space="preserve"> functional impairment.</w:t>
      </w:r>
    </w:p>
    <w:p w14:paraId="0F09934B" w14:textId="0F5EB287" w:rsidR="00DF232E" w:rsidRDefault="00DF232E" w:rsidP="00DF232E">
      <w:r>
        <w:t>The goal of this study is to examine if there is a relationship between stress induced by student trauma and functional impairment levels.</w:t>
      </w:r>
      <w:r w:rsidR="00F125A0">
        <w:t xml:space="preserve"> To do this, a survey was conducted gathering questions </w:t>
      </w:r>
      <w:r w:rsidR="00801648">
        <w:t xml:space="preserve">that would give an idea of an individual’s levels of secondary traumatic stress (STS), </w:t>
      </w:r>
      <w:r w:rsidR="00F125A0">
        <w:t xml:space="preserve">that were answered on a </w:t>
      </w:r>
      <w:r w:rsidR="00801648">
        <w:t>5-point</w:t>
      </w:r>
      <w:r w:rsidR="00F125A0">
        <w:t xml:space="preserve"> scale</w:t>
      </w:r>
      <w:r w:rsidR="00801648">
        <w:t>.</w:t>
      </w:r>
      <w:r w:rsidR="00F125A0">
        <w:t xml:space="preserve"> </w:t>
      </w:r>
      <w:r w:rsidR="00F125A0">
        <w:rPr>
          <w:i/>
          <w:iCs/>
        </w:rPr>
        <w:t xml:space="preserve">Never </w:t>
      </w:r>
      <w:r w:rsidR="00F125A0">
        <w:t xml:space="preserve">scored </w:t>
      </w:r>
      <w:r w:rsidR="00F125A0">
        <w:t xml:space="preserve">as 1, </w:t>
      </w:r>
      <w:r w:rsidR="00F125A0">
        <w:t>and</w:t>
      </w:r>
      <w:r w:rsidR="00F125A0">
        <w:t xml:space="preserve"> </w:t>
      </w:r>
      <w:r w:rsidR="00F125A0">
        <w:rPr>
          <w:i/>
          <w:iCs/>
        </w:rPr>
        <w:t xml:space="preserve">Very Often </w:t>
      </w:r>
      <w:r w:rsidR="00F125A0">
        <w:t>scored as</w:t>
      </w:r>
      <w:r w:rsidR="00F125A0">
        <w:rPr>
          <w:i/>
          <w:iCs/>
        </w:rPr>
        <w:t xml:space="preserve"> 5.</w:t>
      </w:r>
      <w:r w:rsidR="00801648">
        <w:t xml:space="preserve"> Another series of questions were asked to determine their levels of functional impairment, also on a 5-point scale (</w:t>
      </w:r>
      <w:r w:rsidR="00801648">
        <w:rPr>
          <w:i/>
          <w:iCs/>
        </w:rPr>
        <w:t xml:space="preserve">None </w:t>
      </w:r>
      <w:r w:rsidR="00801648">
        <w:t xml:space="preserve">as 1, up to </w:t>
      </w:r>
      <w:r w:rsidR="00801648">
        <w:rPr>
          <w:i/>
          <w:iCs/>
        </w:rPr>
        <w:t>A Great Deal as 5</w:t>
      </w:r>
      <w:r w:rsidR="00801648">
        <w:t xml:space="preserve">). Participants were placed into a category based on their level of STS, which are shown in </w:t>
      </w:r>
      <w:r w:rsidR="00801648">
        <w:rPr>
          <w:i/>
          <w:iCs/>
        </w:rPr>
        <w:t xml:space="preserve">Table 1, </w:t>
      </w:r>
      <w:r w:rsidR="00801648">
        <w:t>with the total score of all the questions relating to STS determining where they place. The average Functional Impairment score within each of these groups is also shown in the table.</w:t>
      </w:r>
    </w:p>
    <w:p w14:paraId="4321331B" w14:textId="77777777" w:rsidR="00801648" w:rsidRDefault="00801648" w:rsidP="00DF232E"/>
    <w:p w14:paraId="37918762" w14:textId="3FB3D2AE" w:rsidR="00801648" w:rsidRDefault="00801648" w:rsidP="00DF232E">
      <w:r>
        <w:t xml:space="preserve">The average Functional Impairment score increases for each step up in STS level. </w:t>
      </w:r>
      <w:r w:rsidR="00027A1A">
        <w:t>From this, we can estimate a significant positive relationship between STS level and functional impairment scores.</w:t>
      </w:r>
    </w:p>
    <w:p w14:paraId="0CFD9E88" w14:textId="1B516FD8" w:rsidR="00801648" w:rsidRPr="00801648" w:rsidRDefault="00801648" w:rsidP="00DF232E">
      <w:pPr>
        <w:rPr>
          <w:i/>
          <w:iCs/>
        </w:rPr>
      </w:pPr>
      <w:r>
        <w:rPr>
          <w:i/>
          <w:iCs/>
        </w:rPr>
        <w:t>Table 1. STS Levels and Average Functional Impairment for each level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01648" w14:paraId="13436618" w14:textId="77777777" w:rsidTr="00B35433">
        <w:tc>
          <w:tcPr>
            <w:tcW w:w="1558" w:type="dxa"/>
          </w:tcPr>
          <w:p w14:paraId="4A187F87" w14:textId="77777777" w:rsidR="00801648" w:rsidRDefault="00801648" w:rsidP="00B35433">
            <w:pPr>
              <w:rPr>
                <w:b/>
                <w:bCs/>
              </w:rPr>
            </w:pPr>
            <w:r>
              <w:rPr>
                <w:b/>
                <w:bCs/>
              </w:rPr>
              <w:t>STS Level</w:t>
            </w:r>
          </w:p>
        </w:tc>
        <w:tc>
          <w:tcPr>
            <w:tcW w:w="1558" w:type="dxa"/>
          </w:tcPr>
          <w:p w14:paraId="28E13E67" w14:textId="77777777" w:rsidR="00801648" w:rsidRDefault="00801648" w:rsidP="00B35433">
            <w:pPr>
              <w:rPr>
                <w:b/>
                <w:bCs/>
              </w:rPr>
            </w:pPr>
            <w:r>
              <w:rPr>
                <w:b/>
                <w:bCs/>
              </w:rPr>
              <w:t>Little to no STS</w:t>
            </w:r>
          </w:p>
        </w:tc>
        <w:tc>
          <w:tcPr>
            <w:tcW w:w="1558" w:type="dxa"/>
          </w:tcPr>
          <w:p w14:paraId="6423BF85" w14:textId="77777777" w:rsidR="00801648" w:rsidRDefault="00801648" w:rsidP="00B35433">
            <w:pPr>
              <w:rPr>
                <w:b/>
                <w:bCs/>
              </w:rPr>
            </w:pPr>
            <w:r>
              <w:rPr>
                <w:b/>
                <w:bCs/>
              </w:rPr>
              <w:t>Mild STS</w:t>
            </w:r>
          </w:p>
        </w:tc>
        <w:tc>
          <w:tcPr>
            <w:tcW w:w="1558" w:type="dxa"/>
          </w:tcPr>
          <w:p w14:paraId="4A7743CE" w14:textId="77777777" w:rsidR="00801648" w:rsidRDefault="00801648" w:rsidP="00B35433">
            <w:pPr>
              <w:rPr>
                <w:b/>
                <w:bCs/>
              </w:rPr>
            </w:pPr>
            <w:r>
              <w:rPr>
                <w:b/>
                <w:bCs/>
              </w:rPr>
              <w:t>Moderate STS</w:t>
            </w:r>
          </w:p>
        </w:tc>
        <w:tc>
          <w:tcPr>
            <w:tcW w:w="1559" w:type="dxa"/>
          </w:tcPr>
          <w:p w14:paraId="5C7124A7" w14:textId="77777777" w:rsidR="00801648" w:rsidRDefault="00801648" w:rsidP="00B35433">
            <w:pPr>
              <w:rPr>
                <w:b/>
                <w:bCs/>
              </w:rPr>
            </w:pPr>
            <w:r>
              <w:rPr>
                <w:b/>
                <w:bCs/>
              </w:rPr>
              <w:t>High STS</w:t>
            </w:r>
          </w:p>
        </w:tc>
        <w:tc>
          <w:tcPr>
            <w:tcW w:w="1559" w:type="dxa"/>
          </w:tcPr>
          <w:p w14:paraId="7B980D4E" w14:textId="77777777" w:rsidR="00801648" w:rsidRDefault="00801648" w:rsidP="00B35433">
            <w:pPr>
              <w:rPr>
                <w:b/>
                <w:bCs/>
              </w:rPr>
            </w:pPr>
            <w:r>
              <w:rPr>
                <w:b/>
                <w:bCs/>
              </w:rPr>
              <w:t>Severe STS</w:t>
            </w:r>
          </w:p>
        </w:tc>
      </w:tr>
      <w:tr w:rsidR="00801648" w14:paraId="194D196C" w14:textId="77777777" w:rsidTr="00B35433">
        <w:trPr>
          <w:trHeight w:val="620"/>
        </w:trPr>
        <w:tc>
          <w:tcPr>
            <w:tcW w:w="1558" w:type="dxa"/>
          </w:tcPr>
          <w:p w14:paraId="1BB06AD5" w14:textId="77777777" w:rsidR="00801648" w:rsidRDefault="00801648" w:rsidP="00B35433">
            <w:pPr>
              <w:rPr>
                <w:b/>
                <w:bCs/>
              </w:rPr>
            </w:pPr>
            <w:r>
              <w:rPr>
                <w:b/>
                <w:bCs/>
              </w:rPr>
              <w:t>STS score range</w:t>
            </w:r>
          </w:p>
        </w:tc>
        <w:tc>
          <w:tcPr>
            <w:tcW w:w="1558" w:type="dxa"/>
          </w:tcPr>
          <w:p w14:paraId="59FF2520" w14:textId="77777777" w:rsidR="00801648" w:rsidRDefault="00801648" w:rsidP="00B35433">
            <w:pPr>
              <w:rPr>
                <w:b/>
                <w:bCs/>
              </w:rPr>
            </w:pPr>
            <w:r>
              <w:rPr>
                <w:b/>
                <w:bCs/>
              </w:rPr>
              <w:t>27 or less</w:t>
            </w:r>
          </w:p>
        </w:tc>
        <w:tc>
          <w:tcPr>
            <w:tcW w:w="1558" w:type="dxa"/>
          </w:tcPr>
          <w:p w14:paraId="2C401BDC" w14:textId="77777777" w:rsidR="00801648" w:rsidRDefault="00801648" w:rsidP="00B35433">
            <w:pPr>
              <w:rPr>
                <w:b/>
                <w:bCs/>
              </w:rPr>
            </w:pPr>
            <w:r>
              <w:rPr>
                <w:b/>
                <w:bCs/>
              </w:rPr>
              <w:t>28-37</w:t>
            </w:r>
          </w:p>
        </w:tc>
        <w:tc>
          <w:tcPr>
            <w:tcW w:w="1558" w:type="dxa"/>
          </w:tcPr>
          <w:p w14:paraId="32799B98" w14:textId="77777777" w:rsidR="00801648" w:rsidRDefault="00801648" w:rsidP="00B35433">
            <w:pPr>
              <w:rPr>
                <w:b/>
                <w:bCs/>
              </w:rPr>
            </w:pPr>
            <w:r>
              <w:rPr>
                <w:b/>
                <w:bCs/>
              </w:rPr>
              <w:t>38-43</w:t>
            </w:r>
          </w:p>
        </w:tc>
        <w:tc>
          <w:tcPr>
            <w:tcW w:w="1559" w:type="dxa"/>
          </w:tcPr>
          <w:p w14:paraId="7E52D36F" w14:textId="77777777" w:rsidR="00801648" w:rsidRDefault="00801648" w:rsidP="00B35433">
            <w:pPr>
              <w:rPr>
                <w:b/>
                <w:bCs/>
              </w:rPr>
            </w:pPr>
            <w:r>
              <w:rPr>
                <w:b/>
                <w:bCs/>
              </w:rPr>
              <w:t>44-48</w:t>
            </w:r>
          </w:p>
        </w:tc>
        <w:tc>
          <w:tcPr>
            <w:tcW w:w="1559" w:type="dxa"/>
          </w:tcPr>
          <w:p w14:paraId="4A863286" w14:textId="77777777" w:rsidR="00801648" w:rsidRDefault="00801648" w:rsidP="00B35433">
            <w:pPr>
              <w:rPr>
                <w:b/>
                <w:bCs/>
              </w:rPr>
            </w:pPr>
            <w:r>
              <w:rPr>
                <w:b/>
                <w:bCs/>
              </w:rPr>
              <w:t>49+</w:t>
            </w:r>
          </w:p>
        </w:tc>
      </w:tr>
      <w:tr w:rsidR="00801648" w14:paraId="4C105665" w14:textId="77777777" w:rsidTr="00B35433">
        <w:trPr>
          <w:trHeight w:val="845"/>
        </w:trPr>
        <w:tc>
          <w:tcPr>
            <w:tcW w:w="1558" w:type="dxa"/>
          </w:tcPr>
          <w:p w14:paraId="3DD4F670" w14:textId="31ECD397" w:rsidR="00801648" w:rsidRDefault="00801648" w:rsidP="00B35433">
            <w:pPr>
              <w:rPr>
                <w:b/>
                <w:bCs/>
              </w:rPr>
            </w:pPr>
            <w:r>
              <w:rPr>
                <w:b/>
                <w:bCs/>
              </w:rPr>
              <w:t>Average</w:t>
            </w:r>
            <w:r>
              <w:rPr>
                <w:b/>
                <w:bCs/>
              </w:rPr>
              <w:t xml:space="preserve"> Functional Impairment</w:t>
            </w:r>
          </w:p>
        </w:tc>
        <w:tc>
          <w:tcPr>
            <w:tcW w:w="1558" w:type="dxa"/>
          </w:tcPr>
          <w:p w14:paraId="2DFEF4FD" w14:textId="77777777" w:rsidR="00801648" w:rsidRDefault="00801648" w:rsidP="00B35433">
            <w:pPr>
              <w:rPr>
                <w:b/>
                <w:bCs/>
              </w:rPr>
            </w:pPr>
            <w:r>
              <w:rPr>
                <w:b/>
                <w:bCs/>
              </w:rPr>
              <w:t>7.97</w:t>
            </w:r>
          </w:p>
        </w:tc>
        <w:tc>
          <w:tcPr>
            <w:tcW w:w="1558" w:type="dxa"/>
          </w:tcPr>
          <w:p w14:paraId="290960A2" w14:textId="77777777" w:rsidR="00801648" w:rsidRDefault="00801648" w:rsidP="00B35433">
            <w:pPr>
              <w:rPr>
                <w:b/>
                <w:bCs/>
              </w:rPr>
            </w:pPr>
            <w:r>
              <w:rPr>
                <w:b/>
                <w:bCs/>
              </w:rPr>
              <w:t>10.6</w:t>
            </w:r>
          </w:p>
        </w:tc>
        <w:tc>
          <w:tcPr>
            <w:tcW w:w="1558" w:type="dxa"/>
          </w:tcPr>
          <w:p w14:paraId="67CCEEB5" w14:textId="77777777" w:rsidR="00801648" w:rsidRDefault="00801648" w:rsidP="00B35433">
            <w:pPr>
              <w:rPr>
                <w:b/>
                <w:bCs/>
              </w:rPr>
            </w:pPr>
            <w:r>
              <w:rPr>
                <w:b/>
                <w:bCs/>
              </w:rPr>
              <w:t>12.14</w:t>
            </w:r>
          </w:p>
        </w:tc>
        <w:tc>
          <w:tcPr>
            <w:tcW w:w="1559" w:type="dxa"/>
          </w:tcPr>
          <w:p w14:paraId="3BEE7703" w14:textId="77777777" w:rsidR="00801648" w:rsidRDefault="00801648" w:rsidP="00B35433">
            <w:pPr>
              <w:rPr>
                <w:b/>
                <w:bCs/>
              </w:rPr>
            </w:pPr>
            <w:r>
              <w:rPr>
                <w:b/>
                <w:bCs/>
              </w:rPr>
              <w:t>16.85</w:t>
            </w:r>
          </w:p>
        </w:tc>
        <w:tc>
          <w:tcPr>
            <w:tcW w:w="1559" w:type="dxa"/>
          </w:tcPr>
          <w:p w14:paraId="46587F16" w14:textId="77777777" w:rsidR="00801648" w:rsidRDefault="00801648" w:rsidP="00B35433">
            <w:pPr>
              <w:rPr>
                <w:b/>
                <w:bCs/>
              </w:rPr>
            </w:pPr>
            <w:r>
              <w:rPr>
                <w:b/>
                <w:bCs/>
              </w:rPr>
              <w:t>18.8</w:t>
            </w:r>
          </w:p>
        </w:tc>
      </w:tr>
    </w:tbl>
    <w:p w14:paraId="2FFAF868" w14:textId="77777777" w:rsidR="00801648" w:rsidRDefault="00801648" w:rsidP="00DF232E"/>
    <w:p w14:paraId="0EFC1DF3" w14:textId="42B41C9A" w:rsidR="00801648" w:rsidRDefault="00027A1A" w:rsidP="00DF232E">
      <w:r>
        <w:t xml:space="preserve">In </w:t>
      </w:r>
      <w:r w:rsidRPr="00027A1A">
        <w:rPr>
          <w:i/>
          <w:iCs/>
        </w:rPr>
        <w:t>figure one</w:t>
      </w:r>
      <w:r>
        <w:t>, this relationship is visualized. The box plots show that there is a significant difference in the mean from moderate STS and high STS, and there is an increase between every level.</w:t>
      </w:r>
    </w:p>
    <w:p w14:paraId="074593AA" w14:textId="77777777" w:rsidR="00027A1A" w:rsidRDefault="00027A1A" w:rsidP="00DF232E"/>
    <w:p w14:paraId="606DEEA0" w14:textId="77777777" w:rsidR="00027A1A" w:rsidRPr="00801648" w:rsidRDefault="00027A1A" w:rsidP="00DF232E"/>
    <w:p w14:paraId="71C45552" w14:textId="61DEED0A" w:rsidR="008A7C7C" w:rsidRDefault="00D94599" w:rsidP="00027A1A">
      <w:pPr>
        <w:jc w:val="center"/>
        <w:rPr>
          <w:b/>
          <w:bCs/>
        </w:rPr>
      </w:pPr>
      <w:r>
        <w:rPr>
          <w:noProof/>
        </w:rPr>
        <w:lastRenderedPageBreak/>
        <w:drawing>
          <wp:inline distT="0" distB="0" distL="0" distR="0" wp14:anchorId="467FB502" wp14:editId="2127C313">
            <wp:extent cx="4267200" cy="4267200"/>
            <wp:effectExtent l="0" t="0" r="0" b="0"/>
            <wp:docPr id="1302887417" name="Picture 1" descr="A graph with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87417" name="Picture 1" descr="A graph with a number of square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inline>
        </w:drawing>
      </w:r>
    </w:p>
    <w:p w14:paraId="19E6BB63" w14:textId="77777777" w:rsidR="00D94599" w:rsidRDefault="00D94599" w:rsidP="008A7C7C">
      <w:pPr>
        <w:rPr>
          <w:b/>
          <w:bCs/>
        </w:rPr>
      </w:pPr>
    </w:p>
    <w:p w14:paraId="3FAEE193" w14:textId="630F3630" w:rsidR="00D94599" w:rsidRPr="00027A1A" w:rsidRDefault="00D94599" w:rsidP="008A7C7C"/>
    <w:sectPr w:rsidR="00D94599" w:rsidRPr="0002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7C"/>
    <w:rsid w:val="00027A1A"/>
    <w:rsid w:val="0049717A"/>
    <w:rsid w:val="004B56DC"/>
    <w:rsid w:val="004E1644"/>
    <w:rsid w:val="006374D3"/>
    <w:rsid w:val="00801648"/>
    <w:rsid w:val="00827545"/>
    <w:rsid w:val="008A7C7C"/>
    <w:rsid w:val="008C3361"/>
    <w:rsid w:val="00AD3489"/>
    <w:rsid w:val="00D94599"/>
    <w:rsid w:val="00DF232E"/>
    <w:rsid w:val="00E2247F"/>
    <w:rsid w:val="00F12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000C"/>
  <w15:chartTrackingRefBased/>
  <w15:docId w15:val="{80190696-90EB-49B1-98A5-8686B70F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C7C"/>
    <w:rPr>
      <w:rFonts w:eastAsiaTheme="majorEastAsia" w:cstheme="majorBidi"/>
      <w:color w:val="272727" w:themeColor="text1" w:themeTint="D8"/>
    </w:rPr>
  </w:style>
  <w:style w:type="paragraph" w:styleId="Title">
    <w:name w:val="Title"/>
    <w:basedOn w:val="Normal"/>
    <w:next w:val="Normal"/>
    <w:link w:val="TitleChar"/>
    <w:uiPriority w:val="10"/>
    <w:qFormat/>
    <w:rsid w:val="008A7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C7C"/>
    <w:pPr>
      <w:spacing w:before="160"/>
      <w:jc w:val="center"/>
    </w:pPr>
    <w:rPr>
      <w:i/>
      <w:iCs/>
      <w:color w:val="404040" w:themeColor="text1" w:themeTint="BF"/>
    </w:rPr>
  </w:style>
  <w:style w:type="character" w:customStyle="1" w:styleId="QuoteChar">
    <w:name w:val="Quote Char"/>
    <w:basedOn w:val="DefaultParagraphFont"/>
    <w:link w:val="Quote"/>
    <w:uiPriority w:val="29"/>
    <w:rsid w:val="008A7C7C"/>
    <w:rPr>
      <w:i/>
      <w:iCs/>
      <w:color w:val="404040" w:themeColor="text1" w:themeTint="BF"/>
    </w:rPr>
  </w:style>
  <w:style w:type="paragraph" w:styleId="ListParagraph">
    <w:name w:val="List Paragraph"/>
    <w:basedOn w:val="Normal"/>
    <w:uiPriority w:val="34"/>
    <w:qFormat/>
    <w:rsid w:val="008A7C7C"/>
    <w:pPr>
      <w:ind w:left="720"/>
      <w:contextualSpacing/>
    </w:pPr>
  </w:style>
  <w:style w:type="character" w:styleId="IntenseEmphasis">
    <w:name w:val="Intense Emphasis"/>
    <w:basedOn w:val="DefaultParagraphFont"/>
    <w:uiPriority w:val="21"/>
    <w:qFormat/>
    <w:rsid w:val="008A7C7C"/>
    <w:rPr>
      <w:i/>
      <w:iCs/>
      <w:color w:val="0F4761" w:themeColor="accent1" w:themeShade="BF"/>
    </w:rPr>
  </w:style>
  <w:style w:type="paragraph" w:styleId="IntenseQuote">
    <w:name w:val="Intense Quote"/>
    <w:basedOn w:val="Normal"/>
    <w:next w:val="Normal"/>
    <w:link w:val="IntenseQuoteChar"/>
    <w:uiPriority w:val="30"/>
    <w:qFormat/>
    <w:rsid w:val="008A7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C7C"/>
    <w:rPr>
      <w:i/>
      <w:iCs/>
      <w:color w:val="0F4761" w:themeColor="accent1" w:themeShade="BF"/>
    </w:rPr>
  </w:style>
  <w:style w:type="character" w:styleId="IntenseReference">
    <w:name w:val="Intense Reference"/>
    <w:basedOn w:val="DefaultParagraphFont"/>
    <w:uiPriority w:val="32"/>
    <w:qFormat/>
    <w:rsid w:val="008A7C7C"/>
    <w:rPr>
      <w:b/>
      <w:bCs/>
      <w:smallCaps/>
      <w:color w:val="0F4761" w:themeColor="accent1" w:themeShade="BF"/>
      <w:spacing w:val="5"/>
    </w:rPr>
  </w:style>
  <w:style w:type="table" w:styleId="TableGrid">
    <w:name w:val="Table Grid"/>
    <w:basedOn w:val="TableNormal"/>
    <w:uiPriority w:val="39"/>
    <w:rsid w:val="00D94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Mackedanz, William T</dc:creator>
  <cp:keywords/>
  <dc:description/>
  <cp:lastModifiedBy>Mackedanz, William T</cp:lastModifiedBy>
  <cp:revision>1</cp:revision>
  <dcterms:created xsi:type="dcterms:W3CDTF">2024-08-29T23:48:00Z</dcterms:created>
  <dcterms:modified xsi:type="dcterms:W3CDTF">2024-08-30T01:06:00Z</dcterms:modified>
</cp:coreProperties>
</file>