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01" w:rsidRDefault="00F5345F" w:rsidP="005B1DC9">
      <w:pPr>
        <w:jc w:val="center"/>
      </w:pPr>
      <w:r>
        <w:t>Escritura de buenas historias de usuario</w:t>
      </w:r>
    </w:p>
    <w:p w:rsidR="00CE7F01" w:rsidRDefault="00CE7F01" w:rsidP="005B1DC9">
      <w:pPr>
        <w:jc w:val="both"/>
      </w:pPr>
    </w:p>
    <w:p w:rsidR="003C30A1" w:rsidRDefault="003C30A1" w:rsidP="005B1DC9">
      <w:pPr>
        <w:jc w:val="both"/>
      </w:pPr>
      <w:r>
        <w:t xml:space="preserve">Card </w:t>
      </w:r>
      <w:r w:rsidR="000E6599">
        <w:t xml:space="preserve">Conversation </w:t>
      </w:r>
      <w:bookmarkStart w:id="0" w:name="_GoBack"/>
      <w:bookmarkEnd w:id="0"/>
      <w:r>
        <w:t xml:space="preserve">Confirmation </w:t>
      </w:r>
    </w:p>
    <w:p w:rsidR="003C30A1" w:rsidRDefault="003C30A1" w:rsidP="005B1DC9">
      <w:pPr>
        <w:jc w:val="both"/>
      </w:pPr>
    </w:p>
    <w:p w:rsidR="00AE0885" w:rsidRDefault="00626F7C" w:rsidP="005B1DC9">
      <w:pPr>
        <w:jc w:val="both"/>
      </w:pPr>
      <w:r>
        <w:t>INVEST:</w:t>
      </w:r>
    </w:p>
    <w:p w:rsidR="00626F7C" w:rsidRDefault="00626F7C" w:rsidP="005B1DC9">
      <w:pPr>
        <w:jc w:val="both"/>
      </w:pPr>
      <w:r>
        <w:t>Es un recordatorio de las características de una buena calidad historia de usuario, cada sigla tiene un significado, los cuales se describen a continuación:</w:t>
      </w:r>
    </w:p>
    <w:p w:rsidR="00626F7C" w:rsidRDefault="00AD62A2" w:rsidP="005B1DC9">
      <w:pPr>
        <w:jc w:val="both"/>
      </w:pPr>
      <w:r>
        <w:t xml:space="preserve"> I (Independent): La historia de usuario debe ser autónoma, </w:t>
      </w:r>
      <w:r w:rsidR="002504D2">
        <w:t>de manera que otra historia de usuario dependa de esta.</w:t>
      </w:r>
    </w:p>
    <w:p w:rsidR="00CB22D6" w:rsidRDefault="00CB22D6" w:rsidP="005B1DC9">
      <w:pPr>
        <w:jc w:val="both"/>
      </w:pPr>
      <w:r>
        <w:t>N (Negotiable): Mientras que una historia de usuario sea parte de una iteración, siempre se podrá cambiar o reescribir.</w:t>
      </w:r>
    </w:p>
    <w:p w:rsidR="00CE64DF" w:rsidRDefault="00CE64DF" w:rsidP="005B1DC9">
      <w:pPr>
        <w:jc w:val="both"/>
      </w:pPr>
      <w:r>
        <w:t>V (Valuable): Una historia de usuario debe proporcionar un valor para el usuario final.</w:t>
      </w:r>
    </w:p>
    <w:p w:rsidR="00CE64DF" w:rsidRDefault="00197527" w:rsidP="005B1DC9">
      <w:pPr>
        <w:ind w:left="1416" w:hanging="1416"/>
        <w:jc w:val="both"/>
      </w:pPr>
      <w:r>
        <w:t>E (Estimabl</w:t>
      </w:r>
      <w:r w:rsidR="008634DC">
        <w:t>e): Siempre se debería ser capaz</w:t>
      </w:r>
      <w:r>
        <w:t xml:space="preserve"> de estimar el tamaño de una historia de usuario.</w:t>
      </w:r>
    </w:p>
    <w:p w:rsidR="00AE0885" w:rsidRDefault="00CB410E" w:rsidP="005B1DC9">
      <w:pPr>
        <w:jc w:val="both"/>
      </w:pPr>
      <w:r>
        <w:t xml:space="preserve">S (Small): </w:t>
      </w:r>
      <w:r w:rsidR="000006B4">
        <w:t xml:space="preserve">No deben ser muy grandes, de lo contrario pueden ser difíciles </w:t>
      </w:r>
      <w:r w:rsidR="00B1553C">
        <w:t>de planificar, trabajar o priorizar.</w:t>
      </w:r>
    </w:p>
    <w:p w:rsidR="003951F9" w:rsidRDefault="003951F9" w:rsidP="005B1DC9">
      <w:pPr>
        <w:jc w:val="both"/>
      </w:pPr>
      <w:r>
        <w:t xml:space="preserve">T (Testable): </w:t>
      </w:r>
      <w:r w:rsidR="00943C7B">
        <w:t>La historia de trabajo o su descripción deben proporcionar la información necesaria para hacer posible el desarrollo de pruebas.</w:t>
      </w:r>
    </w:p>
    <w:p w:rsidR="003C30A1" w:rsidRDefault="003C30A1" w:rsidP="005B1DC9">
      <w:pPr>
        <w:jc w:val="both"/>
      </w:pPr>
    </w:p>
    <w:p w:rsidR="00C95613" w:rsidRDefault="00C95613" w:rsidP="005B1DC9">
      <w:pPr>
        <w:jc w:val="both"/>
      </w:pPr>
      <w:r>
        <w:t xml:space="preserve">S (Specific): Una tarea necesita ser específica de manera que cualquiera puede entender de </w:t>
      </w:r>
      <w:r w:rsidR="00305619">
        <w:t>qué</w:t>
      </w:r>
      <w:r>
        <w:t xml:space="preserve"> se trata. Esto ayuda tanto a comprender la tarea como parte de un total</w:t>
      </w:r>
      <w:r w:rsidR="00983BD0">
        <w:t>.</w:t>
      </w:r>
    </w:p>
    <w:p w:rsidR="003C30A1" w:rsidRPr="003C30A1" w:rsidRDefault="003C30A1" w:rsidP="003C30A1">
      <w:pPr>
        <w:shd w:val="clear" w:color="auto" w:fill="FFFFFF"/>
        <w:spacing w:after="0" w:line="255" w:lineRule="atLeast"/>
        <w:ind w:left="708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</w:pPr>
      <w:r w:rsidRPr="003C30A1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es-ES"/>
        </w:rPr>
        <w:t>S</w:t>
      </w:r>
      <w:r w:rsidRPr="003C30A1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- Specific: Una tarea necesita ser específica de manera que cualquiera puede entender de qué se trata. Esto ayuda tanto a comprender la tarea como parte de un total.</w:t>
      </w:r>
    </w:p>
    <w:p w:rsidR="003C30A1" w:rsidRPr="003C30A1" w:rsidRDefault="003C30A1" w:rsidP="003C30A1">
      <w:pPr>
        <w:shd w:val="clear" w:color="auto" w:fill="FFFFFF"/>
        <w:spacing w:after="0" w:line="255" w:lineRule="atLeast"/>
        <w:ind w:left="708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</w:pPr>
      <w:r w:rsidRPr="003C30A1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es-ES"/>
        </w:rPr>
        <w:t>M</w:t>
      </w:r>
      <w:r w:rsidRPr="003C30A1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-Measurable: Que la tarea pueda medirse significa que se pueda marcar como “hecha”. El alcance de este término puede ser acordado dentro del equipo y con el cliente, aunque necesariamente implica cumplir  que se haga lo que se propuso, con los test incluidos y el código refactorizado.</w:t>
      </w:r>
    </w:p>
    <w:p w:rsidR="003C30A1" w:rsidRPr="003C30A1" w:rsidRDefault="003C30A1" w:rsidP="003C30A1">
      <w:pPr>
        <w:shd w:val="clear" w:color="auto" w:fill="FFFFFF"/>
        <w:spacing w:after="0" w:line="255" w:lineRule="atLeast"/>
        <w:ind w:left="708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</w:pPr>
      <w:r w:rsidRPr="003C30A1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es-ES"/>
        </w:rPr>
        <w:t>A</w:t>
      </w:r>
      <w:r w:rsidRPr="003C30A1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-Achievable: Las tareas deben ser “logrables”, para lo cual  todo miembro del equipo puede pedir ayuda cada vez que lo necesite para garantizar el cumplimiento.</w:t>
      </w:r>
    </w:p>
    <w:p w:rsidR="003C30A1" w:rsidRPr="003C30A1" w:rsidRDefault="003C30A1" w:rsidP="003C30A1">
      <w:pPr>
        <w:shd w:val="clear" w:color="auto" w:fill="FFFFFF"/>
        <w:spacing w:after="0" w:line="255" w:lineRule="atLeast"/>
        <w:ind w:left="708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</w:pPr>
      <w:r w:rsidRPr="003C30A1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es-ES"/>
        </w:rPr>
        <w:t>R</w:t>
      </w:r>
      <w:r w:rsidRPr="003C30A1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-Relevant: Cada tarea tiene sentido para el desarrollador, pero además es necesario poder explicar y justificar ante el cliente la misma cada vez que lo requiera.</w:t>
      </w:r>
    </w:p>
    <w:p w:rsidR="003C30A1" w:rsidRPr="003C30A1" w:rsidRDefault="003C30A1" w:rsidP="003C30A1">
      <w:pPr>
        <w:shd w:val="clear" w:color="auto" w:fill="FFFFFF"/>
        <w:spacing w:after="0" w:line="255" w:lineRule="atLeast"/>
        <w:ind w:left="708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es-ES"/>
        </w:rPr>
      </w:pPr>
      <w:r w:rsidRPr="003C30A1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es-ES"/>
        </w:rPr>
        <w:t>T</w:t>
      </w:r>
      <w:r w:rsidRPr="003C30A1">
        <w:rPr>
          <w:rFonts w:ascii="Tahoma" w:eastAsia="Times New Roman" w:hAnsi="Tahoma" w:cs="Tahoma"/>
          <w:color w:val="555555"/>
          <w:sz w:val="20"/>
          <w:szCs w:val="20"/>
          <w:lang w:eastAsia="es-ES"/>
        </w:rPr>
        <w:t>-Time boxed: Cada tarea debe tener una duración acotada (ideal un día…), no necesariamente formal pero que sí contribuya a anticipar  la necesidad de ayuda cuando la tarea es más compleja que lo esperado.</w:t>
      </w:r>
    </w:p>
    <w:p w:rsidR="003C30A1" w:rsidRDefault="003C30A1" w:rsidP="005B1DC9">
      <w:pPr>
        <w:jc w:val="both"/>
      </w:pPr>
    </w:p>
    <w:p w:rsidR="00210BEE" w:rsidRDefault="00210BEE" w:rsidP="005B1DC9">
      <w:pPr>
        <w:jc w:val="both"/>
      </w:pPr>
    </w:p>
    <w:p w:rsidR="00210BEE" w:rsidRDefault="00210BEE" w:rsidP="005B1DC9">
      <w:pPr>
        <w:jc w:val="both"/>
      </w:pPr>
      <w:r>
        <w:t>Referencias</w:t>
      </w:r>
      <w:r w:rsidR="009D36BE">
        <w:t>:</w:t>
      </w:r>
    </w:p>
    <w:p w:rsidR="00133346" w:rsidRDefault="00CE7F01" w:rsidP="005B1DC9">
      <w:pPr>
        <w:jc w:val="both"/>
      </w:pPr>
      <w:hyperlink r:id="rId4" w:history="1">
        <w:r w:rsidRPr="00A24201">
          <w:rPr>
            <w:rStyle w:val="Hipervnculo"/>
          </w:rPr>
          <w:t>http://www.dekra-certification.es/nuestros-servicios/certificacion-productos/certificacion-ccc.html</w:t>
        </w:r>
      </w:hyperlink>
    </w:p>
    <w:p w:rsidR="00CE7F01" w:rsidRDefault="00CE7F01" w:rsidP="005B1DC9">
      <w:pPr>
        <w:jc w:val="both"/>
      </w:pPr>
      <w:hyperlink r:id="rId5" w:history="1">
        <w:r w:rsidRPr="00A24201">
          <w:rPr>
            <w:rStyle w:val="Hipervnculo"/>
          </w:rPr>
          <w:t>http://itusersmagazine.com/2012/03/07/el-consejo-internacional-de-las-credenciales-de-cloud-brinda-oportunidades-para-los-profesionales-de-cloud-computing/</w:t>
        </w:r>
      </w:hyperlink>
    </w:p>
    <w:p w:rsidR="00CE7F01" w:rsidRDefault="00937622" w:rsidP="005B1DC9">
      <w:pPr>
        <w:jc w:val="both"/>
      </w:pPr>
      <w:r w:rsidRPr="00937622">
        <w:lastRenderedPageBreak/>
        <w:t>https://translate.google.com.ec/translate?hl=es&amp;sl=en&amp;u=https://en.wikipedia.org/wiki/INVEST_(mnemonic)&amp;prev=search</w:t>
      </w:r>
    </w:p>
    <w:sectPr w:rsidR="00CE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01"/>
    <w:rsid w:val="000006B4"/>
    <w:rsid w:val="000E6599"/>
    <w:rsid w:val="00133346"/>
    <w:rsid w:val="00197527"/>
    <w:rsid w:val="00210BEE"/>
    <w:rsid w:val="002504D2"/>
    <w:rsid w:val="00305619"/>
    <w:rsid w:val="003951F9"/>
    <w:rsid w:val="003C30A1"/>
    <w:rsid w:val="005B1DC9"/>
    <w:rsid w:val="00626F7C"/>
    <w:rsid w:val="008634DC"/>
    <w:rsid w:val="00937622"/>
    <w:rsid w:val="00943C7B"/>
    <w:rsid w:val="00983BD0"/>
    <w:rsid w:val="009D36BE"/>
    <w:rsid w:val="00AD62A2"/>
    <w:rsid w:val="00AE0885"/>
    <w:rsid w:val="00B1553C"/>
    <w:rsid w:val="00C95613"/>
    <w:rsid w:val="00CB22D6"/>
    <w:rsid w:val="00CB410E"/>
    <w:rsid w:val="00CE64DF"/>
    <w:rsid w:val="00CE7F01"/>
    <w:rsid w:val="00F5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708E9-B7DF-4E5B-A924-37B8B214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F0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C30A1"/>
    <w:rPr>
      <w:b/>
      <w:bCs/>
    </w:rPr>
  </w:style>
  <w:style w:type="character" w:customStyle="1" w:styleId="apple-converted-space">
    <w:name w:val="apple-converted-space"/>
    <w:basedOn w:val="Fuentedeprrafopredeter"/>
    <w:rsid w:val="003C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tusersmagazine.com/2012/03/07/el-consejo-internacional-de-las-credenciales-de-cloud-brinda-oportunidades-para-los-profesionales-de-cloud-computing/" TargetMode="External"/><Relationship Id="rId4" Type="http://schemas.openxmlformats.org/officeDocument/2006/relationships/hyperlink" Target="http://www.dekra-certification.es/nuestros-servicios/certificacion-productos/certificacion-cc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2016-06-03T15:42:00Z</dcterms:created>
  <dcterms:modified xsi:type="dcterms:W3CDTF">2016-06-03T16:31:00Z</dcterms:modified>
</cp:coreProperties>
</file>