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1"/>
      </w:pPr>
      <w:r>
        <w:t>Bagian 4: Pendekatan Teknis &amp; Data (Visualisasi)</w:t>
      </w:r>
    </w:p>
    <w:p>
      <w:r>
        <w:t>Pada tahap ini, GARDA-JKN memanfaatkan data Sampel BPJS Kesehatan FKRTL dan Diagnosis Sekunder. Sistem menggunakan pelabelan Semi-Supervised. Berikut adalah visualisasi pemisahan cluster inlier (normal) dan outlier (fraud) dari sampel 5,000 data klaim:</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572000" cy="2743200"/>
                    </a:xfrm>
                    <a:prstGeom prst="rect"/>
                  </pic:spPr>
                </pic:pic>
              </a:graphicData>
            </a:graphic>
          </wp:inline>
        </w:drawing>
      </w:r>
    </w:p>
    <w:p>
      <w:r>
        <w:t>Fitur terpenting yang diandalkan oleh algoritma XGBoost (berdasarkan interpretabilitas SHAP) didominasi oleh "Biaya Tagih Per Hari" dan "Durasi Rawat Inap". Hal ini berkolerasi kuat secara klinis dengan modus operandi Phantom Billing (tagihan tanpa tindakan) dan Upcoding (durasi diperpanjang tanpa urgensi medis):</w:t>
      </w:r>
    </w:p>
    <w:p>
      <w:pPr>
        <w:jc w:val="center"/>
      </w:pPr>
      <w:r>
        <w:drawing>
          <wp:inline xmlns:a="http://schemas.openxmlformats.org/drawingml/2006/main" xmlns:pic="http://schemas.openxmlformats.org/drawingml/2006/picture">
            <wp:extent cx="4572000" cy="274320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572000" cy="2743200"/>
                    </a:xfrm>
                    <a:prstGeom prst="rect"/>
                  </pic:spPr>
                </pic:pic>
              </a:graphicData>
            </a:graphic>
          </wp:inline>
        </w:drawing>
      </w:r>
    </w:p>
    <w:p>
      <w:pPr>
        <w:pStyle w:val="Heading1"/>
      </w:pPr>
      <w:r>
        <w:t>Bagian 5: Tingkat Kematangan, Prototype &amp; Bukti Evaluasi (MVP)</w:t>
      </w:r>
    </w:p>
    <w:p>
      <w:r>
        <w:t>Tingkat Kematangan: Minimum Viable Product (MVP)</w:t>
        <w:br/>
        <w:t>Sistem GARDA-JKN telah melewati fase purwarupa dan berstatus End-to-End Functional. Semua komponen saling terhubung melalui REST API:</w:t>
      </w:r>
    </w:p>
    <w:p>
      <w:r>
        <w:t>1. Bukti Kinerja Klasifikasi Machine Learning (Lapis 1):</w:t>
        <w:br/>
        <w:t>- Skala Pengujian: 5.000 data historis klaim.</w:t>
        <w:br/>
        <w:t>- Hasil Precision-Recall AUC (PR-AUC): 0.9958.</w:t>
        <w:br/>
        <w:t>- Hit Rate Precision@100: 70.0% konfirmasi kecurangan nyata.</w:t>
        <w:br/>
        <w:t>- Kinerja Kelas Fraud (F1-Score): 97.14%. Waktu inferensi per klaim mencapai hitungan kurang dari 10 detik.</w:t>
      </w:r>
    </w:p>
    <w:p>
      <w:r>
        <w:t>Berikut adalah matriks kebingungan (Confusion Matrix) dan Kurva ROC sistem ML kami:</w:t>
      </w:r>
    </w:p>
    <w:p>
      <w:pPr>
        <w:jc w:val="center"/>
      </w:pPr>
      <w:r>
        <w:drawing>
          <wp:inline xmlns:a="http://schemas.openxmlformats.org/drawingml/2006/main" xmlns:pic="http://schemas.openxmlformats.org/drawingml/2006/picture">
            <wp:extent cx="2743200" cy="22860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657600" cy="2743200"/>
                    </a:xfrm>
                    <a:prstGeom prst="rect"/>
                  </pic:spPr>
                </pic:pic>
              </a:graphicData>
            </a:graphic>
          </wp:inline>
        </w:drawing>
      </w:r>
    </w:p>
    <w:p>
      <w:r>
        <w:t>2. Bukti Evaluasi Agentic AI (Lapis 2 &amp; 3):</w:t>
        <w:br/>
        <w:t>Kami melakukan evaluasi komprehensif menggunakan framework DeepEval terhadap agen penalaran klinis kami. Hasilnya luar biasa: LLM mencapai skor sempurna (1.00 atau 100%) untuk metrik "Answer Relevancy" dan "Faithfulness". Ini menjamin bahwa AI tidak mengalami halusinasi dan putusannya 100% selaras dengan teks pedoman Kemenkes (PNPK):</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572000" cy="2612571"/>
                    </a:xfrm>
                    <a:prstGeom prst="rect"/>
                  </pic:spPr>
                </pic:pic>
              </a:graphicData>
            </a:graphic>
          </wp:inline>
        </w:drawing>
      </w:r>
    </w:p>
    <w:p>
      <w:r>
        <w:t>3. Bukti Integrasi Antarmuka (Next.js VClaim UI):</w:t>
        <w:br/>
        <w:t>Sebagai bukti bahwa MVP ini nyata dan fungsional, kami telah menyertakan hasil End-to-End Playwright Testing dari antarmuka dasbor verifikator kami. Dasbor ini menampilkan rekomendasi putusan (Adjudication Result), skor heuristik, dan alasan medis secara interaktif:</w:t>
      </w:r>
    </w:p>
    <w:p>
      <w:pPr>
        <w:jc w:val="center"/>
      </w:pPr>
      <w:r>
        <w:drawing>
          <wp:inline xmlns:a="http://schemas.openxmlformats.org/drawingml/2006/main" xmlns:pic="http://schemas.openxmlformats.org/drawingml/2006/picture">
            <wp:extent cx="4572000" cy="9661525"/>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572000" cy="9661525"/>
                    </a:xfrm>
                    <a:prstGeom prst="rect"/>
                  </pic:spPr>
                </pic:pic>
              </a:graphicData>
            </a:graphic>
          </wp:inline>
        </w:drawing>
      </w:r>
    </w:p>
    <w:p>
      <w:pPr>
        <w:pStyle w:val="Heading1"/>
      </w:pPr>
      <w:r>
        <w:t>Bagian 6: Rencana &amp; Model Bisnis (VHDIC Canvas)</w:t>
      </w:r>
    </w:p>
    <w:p>
      <w:r>
        <w:t>Melalui pendekatan VHDIC Canvas, keberlanjutan bisnis GARDA-JKN dipetakan sebagai berikut:</w:t>
        <w:br/>
        <w:t>- Viability (Kelayakan Finansial): Keuntungan sistem didapat dari nilai penghematan anggaran (Cost-Saving). Dari estimasi Rp10 Triliun kebocoran JKN per tahun, apabila GARDA-JKN berhasil mencegah 1% saja, BPJS sudah menghemat Rp100 Miliar per tahun.</w:t>
        <w:br/>
        <w:t>- Hypothesis: Verifikator medis manusia tidak sanggup menelusuri 10 juta klaim/bulan. AI dengan RAG dapat menuntaskan cross-check medis dalam &lt;10 detik.</w:t>
        <w:br/>
        <w:t>- Design: Terpisah dalam microservice (XGBoost Backend, LangGraph Arbiter, Next.js Frontend) sehingga aman dan scalable.</w:t>
        <w:br/>
        <w:t>- Implementation: Fase 1 (Simulasi Lingkungan Tertutup), Fase 2 (Pilot di RS Tipe A untuk live-shadowing), Fase 3 (Skalabilitas Nasional).</w:t>
        <w:br/>
        <w:t>- Cost (Struktur Biaya): Sangat efisien. Biaya token API LLM, cloud server, dan Vector DB sangat kecil (Return on Investment positif ekstrem) dibanding rasio fraud klaim yang digagalkan.</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