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Draf Proposal Healthkathon 2026: GARDA-JKN</w:t>
      </w:r>
    </w:p>
    <w:p>
      <w:pPr>
        <w:pStyle w:val="Heading1"/>
      </w:pPr>
      <w:r>
        <w:t>Bagian 1: Identitas &amp; Positioning</w:t>
      </w:r>
    </w:p>
    <w:p>
      <w:r>
        <w:t>Nama Solusi: GARDA-JKN (Generative Agent for Risk Detection and Adjudication)</w:t>
        <w:br/>
        <w:t>Tagline: Mesin Penalaran Klinis untuk Adjudikasi Klaim BPJS yang Cerdas, Transparan, dan Terpercaya.</w:t>
        <w:br/>
        <w:t>Kategori Utama: Efisiensi Risiko pada Fasilitas Kesehatan</w:t>
        <w:br/>
        <w:t>Sub-Kategori Fokus: Manipulasi diagnosis/tindakan (Upcoding), Phantom Billing, dan Readmisi.</w:t>
      </w:r>
    </w:p>
    <w:p>
      <w:r>
        <w:t>Positioning Unik:</w:t>
        <w:br/>
        <w:t>Tidak seperti sistem deteksi fraud tradisional yang berupa "Blackbox AI", GARDA-JKN mengombinasikan Explainable AI (XGBoost + SHAP) dengan kecerdasan generatif LLM (LangGraph &amp; RAG) untuk tidak hanya mendeteksi anomali finansial, tetapi juga memberikan alasan klinis berstandar medis (PNPK), sekaligus menempatkan manusia sebagai penentu akhir (Human-in-the-Loop).</w:t>
      </w:r>
    </w:p>
    <w:p>
      <w:pPr>
        <w:pStyle w:val="Heading1"/>
      </w:pPr>
      <w:r>
        <w:t>Bagian 2: Masalah &amp; Urgensi</w:t>
      </w:r>
    </w:p>
    <w:p>
      <w:r>
        <w:t>Spesifisitas Masalah:</w:t>
        <w:br/>
        <w:t>Kebocoran dana Program JKN akibat fraud sistemik di Fasilitas Kesehatan Tingkat Lanjut (FKRTL). Modus utama mencakup Upcoding (manipulasi tingkat severity INA-CBG agar tarif lebih mahal), Phantom Billing (klaim pasien/tindakan fiktif), dan Readmisi (pemecahan episode rawat inap).</w:t>
      </w:r>
    </w:p>
    <w:p>
      <w:r>
        <w:t>Dukungan Data &amp; Urgensi:</w:t>
        <w:br/>
        <w:t>- Kerugian Finansial: Berdasarkan tinjauan KPK dan Kemenkes (2024), estimasi kebocoran dana JKN mencapai 5-10% dari total beban klaim, atau setara dengan Rp10 hingga Rp15 Triliun per tahun. Bahkan pada Juli 2024, KPK menemukan konfirmasi Phantom Billing senilai Rp35 Miliar hanya dari 3 rumah sakit sebagai fenomena puncak gunung es.</w:t>
        <w:br/>
        <w:t>- Beban Kerja Ekstrem (Fatigue): Pada tahun 2023, layanan JKN menyentuh 606,7 juta kunjungan. Verifikator medis BPJS Kesehatan dihadapkan pada 8 hingga 12 juta klaim FKRTL per bulan. Dengan rasio ribuan klaim per verifikator dan batas waktu pencairan SLA (Service Level Agreement) 15 hari, verifikasi manual sangat rentan human error dan mustahil meneliti rekam medis 100% secara akurat.</w:t>
      </w:r>
    </w:p>
    <w:p>
      <w:r>
        <w:t>Jika kecurangan berlapis ini tidak ditekan di fase pre-payment menggunakan sistem pendeteksi cerdas yang mampu membedah pola non-linear secara seketika (real-time), kebocoran anggaran JKN akan menggerus keberlanjutan jaminan kesehatan nasional bagi ratusan juta rakyat Indonesia.</w:t>
      </w:r>
    </w:p>
    <w:p>
      <w:pPr>
        <w:pStyle w:val="Heading1"/>
      </w:pPr>
      <w:r>
        <w:t>Bagian 3: Solusi, Keunggulan &amp; Arsitektur</w:t>
      </w:r>
    </w:p>
    <w:p>
      <w:r>
        <w:t>Ide Solusi:</w:t>
        <w:br/>
        <w:t>Membangun platform verifikasi klaim 3-Lapis (Microservice) yang revolusioner:</w:t>
        <w:br/>
        <w:t>1. Lapis 1 (XGBoost + SHAP): Melakukan screening finansial berkecepatan tinggi dalam hitungan milidetik. Model ini menggunakan Stratified Isolation Forest dengan 14 primary strata, 12 Base CBG fallbacks, dan 18 CMG fallbacks untuk menghindari bias ukuran rumah sakit.</w:t>
        <w:br/>
        <w:t>2. Lapis 2 (Qdrant RAG - Advanced PDF Parsing): Mesin pencarian vektor medis otomatis. Mengatasi kelemahan RAG standar, sistem kami menggunakan PyMuPDF4LLM untuk mem-parsing Pedoman Nasional Pelayanan Kedokteran (PNPK). Teknologi ini berhasil mengekstrak "Tabel Bersarang" dan "Flowchart Medis" ke dalam format Markdown murni, menjaga konteks relasional medis yang vital agar tidak hilang.</w:t>
        <w:br/>
        <w:t>3. Lapis 3 (LLM Agent - LangGraph): Clinical Arbiter (DeepSeek-Chat) yang menyintesis temuan dari Lapis 1 &amp; 2. Sesuai dengan "Fraud Control Matrix" kami, sistem ini dapat membedakan indikasi heuristik (finansial gap) dengan bukti otentik (aturan PNPK) untuk menerbitkan rekomendasi Berita Acara yang definitif.</w:t>
      </w:r>
    </w:p>
    <w:p>
      <w:r>
        <w:t>Alur Workflow Sistem:</w:t>
        <w:br/>
        <w:t>Klaim RS Masuk -&gt; Lapis 1 (Financial Screening) -&gt; Jika skor risiko tinggi, klaim dilempar ke Lapis 2 (Qdrant mencari dokumen medis relevan) -&gt; Konteks digabung ke Lapis 3 (LLM Arbiter) -&gt; LLM mengeluarkan Keputusan (Auto-Approve / Downgrade / Escalate). Jika statusnya "Escalate", maka akan diserahkan ke Dasbor Manusia (Human-in-the-Loop).</w:t>
      </w:r>
    </w:p>
    <w:p>
      <w:pPr>
        <w:pStyle w:val="Heading1"/>
      </w:pPr>
      <w:r>
        <w:t>Bagian 4: Pendekatan Teknis &amp; Data (Visualisasi)</w:t>
      </w:r>
    </w:p>
    <w:p>
      <w:r>
        <w:t>Pada tahap ini, GARDA-JKN memanfaatkan data Sampel BPJS Kesehatan FKRTL dan Diagnosis Sekunder. Sistem menggunakan pelabelan Semi-Supervised. Berikut adalah visualisasi pemisahan cluster inlier (normal) dan outlier (fraud) dari sampel 5,000 data klaim:</w:t>
      </w:r>
    </w:p>
    <w:p>
      <w:pPr>
        <w:jc w:val="center"/>
      </w:pPr>
      <w:r>
        <w:drawing>
          <wp:inline xmlns:a="http://schemas.openxmlformats.org/drawingml/2006/main" xmlns:pic="http://schemas.openxmlformats.org/drawingml/2006/picture">
            <wp:extent cx="4572000" cy="2743200"/>
            <wp:docPr id="1" name="Picture 1"/>
            <wp:cNvGraphicFramePr>
              <a:graphicFrameLocks noChangeAspect="1"/>
            </wp:cNvGraphicFramePr>
            <a:graphic>
              <a:graphicData uri="http://schemas.openxmlformats.org/drawingml/2006/picture">
                <pic:pic>
                  <pic:nvPicPr>
                    <pic:cNvPr id="0" name="plot_eda_distribution.png"/>
                    <pic:cNvPicPr/>
                  </pic:nvPicPr>
                  <pic:blipFill>
                    <a:blip r:embed="rId9"/>
                    <a:stretch>
                      <a:fillRect/>
                    </a:stretch>
                  </pic:blipFill>
                  <pic:spPr>
                    <a:xfrm>
                      <a:off x="0" y="0"/>
                      <a:ext cx="4572000" cy="2743200"/>
                    </a:xfrm>
                    <a:prstGeom prst="rect"/>
                  </pic:spPr>
                </pic:pic>
              </a:graphicData>
            </a:graphic>
          </wp:inline>
        </w:drawing>
      </w:r>
    </w:p>
    <w:p>
      <w:r>
        <w:t>Fitur terpenting yang diandalkan oleh algoritma XGBoost (berdasarkan interpretabilitas SHAP) didominasi oleh "Biaya Tagih Per Hari" dan "Durasi Rawat Inap". Hal ini berkolerasi kuat secara klinis dengan modus operandi Phantom Billing (tagihan tanpa tindakan) dan Upcoding (durasi diperpanjang tanpa urgensi medis):</w:t>
      </w:r>
    </w:p>
    <w:p>
      <w:pPr>
        <w:jc w:val="center"/>
      </w:pPr>
      <w:r>
        <w:drawing>
          <wp:inline xmlns:a="http://schemas.openxmlformats.org/drawingml/2006/main" xmlns:pic="http://schemas.openxmlformats.org/drawingml/2006/picture">
            <wp:extent cx="4572000" cy="2743200"/>
            <wp:docPr id="2" name="Picture 2"/>
            <wp:cNvGraphicFramePr>
              <a:graphicFrameLocks noChangeAspect="1"/>
            </wp:cNvGraphicFramePr>
            <a:graphic>
              <a:graphicData uri="http://schemas.openxmlformats.org/drawingml/2006/picture">
                <pic:pic>
                  <pic:nvPicPr>
                    <pic:cNvPr id="0" name="plot_feature_importance.png"/>
                    <pic:cNvPicPr/>
                  </pic:nvPicPr>
                  <pic:blipFill>
                    <a:blip r:embed="rId10"/>
                    <a:stretch>
                      <a:fillRect/>
                    </a:stretch>
                  </pic:blipFill>
                  <pic:spPr>
                    <a:xfrm>
                      <a:off x="0" y="0"/>
                      <a:ext cx="4572000" cy="2743200"/>
                    </a:xfrm>
                    <a:prstGeom prst="rect"/>
                  </pic:spPr>
                </pic:pic>
              </a:graphicData>
            </a:graphic>
          </wp:inline>
        </w:drawing>
      </w:r>
    </w:p>
    <w:p>
      <w:pPr>
        <w:pStyle w:val="Heading1"/>
      </w:pPr>
      <w:r>
        <w:t>Bagian 5: Tingkat Kematangan, Prototype &amp; Bukti Evaluasi (MVP)</w:t>
      </w:r>
    </w:p>
    <w:p>
      <w:r>
        <w:t>Tingkat Kematangan: Minimum Viable Product (MVP)</w:t>
        <w:br/>
        <w:t>Sistem GARDA-JKN telah melewati fase purwarupa dan berstatus End-to-End Functional. Semua komponen saling terhubung melalui REST API:</w:t>
      </w:r>
    </w:p>
    <w:p>
      <w:r>
        <w:t>1. Bukti Kinerja Klasifikasi Machine Learning (Lapis 1):</w:t>
        <w:br/>
        <w:t>- Skala Pengujian: 5.000 data historis klaim.</w:t>
        <w:br/>
        <w:t>- Hasil Precision-Recall AUC (PR-AUC): 0.9958.</w:t>
        <w:br/>
        <w:t>- Hit Rate Precision@100: 70.0% konfirmasi kecurangan nyata.</w:t>
        <w:br/>
        <w:t>- Kinerja Kelas Fraud (F1-Score): 97.14%. Waktu inferensi per klaim mencapai hitungan kurang dari 10 detik.</w:t>
      </w:r>
    </w:p>
    <w:p>
      <w:r>
        <w:t>Berikut adalah matriks kebingungan (Confusion Matrix) dan Kurva ROC sistem ML kami:</w:t>
      </w:r>
    </w:p>
    <w:p>
      <w:pPr>
        <w:jc w:val="center"/>
      </w:pPr>
      <w:r>
        <w:drawing>
          <wp:inline xmlns:a="http://schemas.openxmlformats.org/drawingml/2006/main" xmlns:pic="http://schemas.openxmlformats.org/drawingml/2006/picture">
            <wp:extent cx="2743200" cy="2286000"/>
            <wp:docPr id="3" name="Picture 3"/>
            <wp:cNvGraphicFramePr>
              <a:graphicFrameLocks noChangeAspect="1"/>
            </wp:cNvGraphicFramePr>
            <a:graphic>
              <a:graphicData uri="http://schemas.openxmlformats.org/drawingml/2006/picture">
                <pic:pic>
                  <pic:nvPicPr>
                    <pic:cNvPr id="0" name="plot_confusion_matrix.png"/>
                    <pic:cNvPicPr/>
                  </pic:nvPicPr>
                  <pic:blipFill>
                    <a:blip r:embed="rId11"/>
                    <a:stretch>
                      <a:fillRect/>
                    </a:stretch>
                  </pic:blipFill>
                  <pic:spPr>
                    <a:xfrm>
                      <a:off x="0" y="0"/>
                      <a:ext cx="2743200" cy="2286000"/>
                    </a:xfrm>
                    <a:prstGeom prst="rect"/>
                  </pic:spPr>
                </pic:pic>
              </a:graphicData>
            </a:graphic>
          </wp:inline>
        </w:drawing>
      </w:r>
    </w:p>
    <w:p>
      <w:pPr>
        <w:jc w:val="center"/>
      </w:pPr>
      <w:r>
        <w:drawing>
          <wp:inline xmlns:a="http://schemas.openxmlformats.org/drawingml/2006/main" xmlns:pic="http://schemas.openxmlformats.org/drawingml/2006/picture">
            <wp:extent cx="3657600" cy="2743200"/>
            <wp:docPr id="4" name="Picture 4"/>
            <wp:cNvGraphicFramePr>
              <a:graphicFrameLocks noChangeAspect="1"/>
            </wp:cNvGraphicFramePr>
            <a:graphic>
              <a:graphicData uri="http://schemas.openxmlformats.org/drawingml/2006/picture">
                <pic:pic>
                  <pic:nvPicPr>
                    <pic:cNvPr id="0" name="plot_roc_curve.png"/>
                    <pic:cNvPicPr/>
                  </pic:nvPicPr>
                  <pic:blipFill>
                    <a:blip r:embed="rId12"/>
                    <a:stretch>
                      <a:fillRect/>
                    </a:stretch>
                  </pic:blipFill>
                  <pic:spPr>
                    <a:xfrm>
                      <a:off x="0" y="0"/>
                      <a:ext cx="3657600" cy="2743200"/>
                    </a:xfrm>
                    <a:prstGeom prst="rect"/>
                  </pic:spPr>
                </pic:pic>
              </a:graphicData>
            </a:graphic>
          </wp:inline>
        </w:drawing>
      </w:r>
    </w:p>
    <w:p>
      <w:r>
        <w:t>2. Bukti Evaluasi Agentic AI (Lapis 2 &amp; 3):</w:t>
        <w:br/>
        <w:t>Kami melakukan evaluasi komprehensif menggunakan framework DeepEval terhadap agen penalaran klinis kami. Hasilnya luar biasa: LLM mencapai skor sempurna (1.00 atau 100%) untuk metrik "Answer Relevancy" dan "Faithfulness". Ini menjamin bahwa AI tidak mengalami halusinasi dan putusannya 100% selaras dengan teks pedoman Kemenkes (PNPK):</w:t>
      </w:r>
    </w:p>
    <w:p>
      <w:pPr>
        <w:jc w:val="center"/>
      </w:pPr>
      <w:r>
        <w:drawing>
          <wp:inline xmlns:a="http://schemas.openxmlformats.org/drawingml/2006/main" xmlns:pic="http://schemas.openxmlformats.org/drawingml/2006/picture">
            <wp:extent cx="4572000" cy="2612571"/>
            <wp:docPr id="5" name="Picture 5"/>
            <wp:cNvGraphicFramePr>
              <a:graphicFrameLocks noChangeAspect="1"/>
            </wp:cNvGraphicFramePr>
            <a:graphic>
              <a:graphicData uri="http://schemas.openxmlformats.org/drawingml/2006/picture">
                <pic:pic>
                  <pic:nvPicPr>
                    <pic:cNvPr id="0" name="plot_ai_evaluation.png"/>
                    <pic:cNvPicPr/>
                  </pic:nvPicPr>
                  <pic:blipFill>
                    <a:blip r:embed="rId13"/>
                    <a:stretch>
                      <a:fillRect/>
                    </a:stretch>
                  </pic:blipFill>
                  <pic:spPr>
                    <a:xfrm>
                      <a:off x="0" y="0"/>
                      <a:ext cx="4572000" cy="2612571"/>
                    </a:xfrm>
                    <a:prstGeom prst="rect"/>
                  </pic:spPr>
                </pic:pic>
              </a:graphicData>
            </a:graphic>
          </wp:inline>
        </w:drawing>
      </w:r>
    </w:p>
    <w:p>
      <w:r>
        <w:t>3. Bukti Integrasi Antarmuka (Next.js VClaim UI):</w:t>
        <w:br/>
        <w:t>Sebagai bukti bahwa MVP ini nyata dan fungsional, kami telah menyertakan hasil End-to-End Playwright Testing dari antarmuka dasbor verifikator kami. Dasbor ini menampilkan rekomendasi putusan (Adjudication Result), skor heuristik, dan alasan medis secara interaktif:</w:t>
      </w:r>
    </w:p>
    <w:p>
      <w:pPr>
        <w:jc w:val="center"/>
      </w:pPr>
      <w:r>
        <w:drawing>
          <wp:inline xmlns:a="http://schemas.openxmlformats.org/drawingml/2006/main" xmlns:pic="http://schemas.openxmlformats.org/drawingml/2006/picture">
            <wp:extent cx="4572000" cy="9661525"/>
            <wp:docPr id="6" name="Picture 6"/>
            <wp:cNvGraphicFramePr>
              <a:graphicFrameLocks noChangeAspect="1"/>
            </wp:cNvGraphicFramePr>
            <a:graphic>
              <a:graphicData uri="http://schemas.openxmlformats.org/drawingml/2006/picture">
                <pic:pic>
                  <pic:nvPicPr>
                    <pic:cNvPr id="0" name="plot_ui_frontend.png"/>
                    <pic:cNvPicPr/>
                  </pic:nvPicPr>
                  <pic:blipFill>
                    <a:blip r:embed="rId14"/>
                    <a:stretch>
                      <a:fillRect/>
                    </a:stretch>
                  </pic:blipFill>
                  <pic:spPr>
                    <a:xfrm>
                      <a:off x="0" y="0"/>
                      <a:ext cx="4572000" cy="9661525"/>
                    </a:xfrm>
                    <a:prstGeom prst="rect"/>
                  </pic:spPr>
                </pic:pic>
              </a:graphicData>
            </a:graphic>
          </wp:inline>
        </w:drawing>
      </w:r>
    </w:p>
    <w:p>
      <w:pPr>
        <w:pStyle w:val="Heading1"/>
      </w:pPr>
      <w:r>
        <w:t>Bagian 6: Rencana &amp; Model Bisnis (VHDIC Canvas)</w:t>
      </w:r>
    </w:p>
    <w:p>
      <w:r>
        <w:t>Melalui pendekatan VHDIC Canvas, keberlanjutan bisnis GARDA-JKN dipetakan sebagai berikut:</w:t>
        <w:br/>
        <w:t>- Viability (Kelayakan Finansial): Keuntungan sistem didapat dari nilai penghematan anggaran (Cost-Saving). Dari estimasi Rp10 Triliun kebocoran JKN per tahun, apabila GARDA-JKN berhasil mencegah 1% saja, BPJS sudah menghemat Rp100 Miliar per tahun.</w:t>
        <w:br/>
        <w:t>- Hypothesis: Verifikator medis manusia tidak sanggup menelusuri 10 juta klaim/bulan. AI dengan RAG dapat menuntaskan cross-check medis dalam &lt;10 detik.</w:t>
        <w:br/>
        <w:t>- Design: Terpisah dalam microservice (XGBoost Backend, LangGraph Arbiter, Next.js Frontend) sehingga aman dan scalable.</w:t>
        <w:br/>
        <w:t>- Implementation: Fase 1 (Simulasi Lingkungan Tertutup), Fase 2 (Pilot di RS Tipe A untuk live-shadowing), Fase 3 (Skalabilitas Nasional).</w:t>
        <w:br/>
        <w:t>- Cost (Struktur Biaya): Sangat efisien. Biaya token API LLM, cloud server, dan Vector DB sangat kecil (Return on Investment positif ekstrem) dibanding rasio fraud klaim yang digagalkan.</w:t>
      </w:r>
    </w:p>
    <w:p>
      <w:pPr>
        <w:pStyle w:val="Heading1"/>
      </w:pPr>
      <w:r>
        <w:t>Bagian 7: Dampak &amp; Nilai Transformasi</w:t>
      </w:r>
    </w:p>
    <w:p>
      <w:r>
        <w:t>1. Transformasi SDM Verifikator:</w:t>
        <w:br/>
        <w:t>Dengan GARDA-JKN, verifikator BPJS tidak lagi melakukan pekerjaan klerikal mengecek baris Excel atau berkas PDF secara membabi-buta. Mereka naik tingkat menjadi "Analyst/Auditor" yang hanya memutus klaim berstatus ambigu tinggi (ESCALATED).</w:t>
        <w:br/>
        <w:t>2. Kecepatan Operasional:</w:t>
        <w:br/>
        <w:t>Waktu deteksi audit yang biasanya memakan waktu hingga puluhan menit per klaim (secara manual), kini selesai di bawah 10 detik dengan presisi mesin.</w:t>
        <w:br/>
        <w:t>3. Multi-Penerima Manfaat:</w:t>
        <w:br/>
        <w:t>BPJS Kesehatan menekan defisit, Rumah Sakit jujur mendapatkan pencairan lebih cepat (karena klaim bersih langsung Auto-Approve), dan Masyarakat terhindar dari pemotongan kualitas layanan akibat kebangkrutan sistem.</w:t>
      </w:r>
    </w:p>
    <w:p>
      <w:pPr>
        <w:pStyle w:val="Heading1"/>
      </w:pPr>
      <w:r>
        <w:t>Bagian 8: Risiko, Privasi &amp; Etika</w:t>
      </w:r>
    </w:p>
    <w:p>
      <w:r>
        <w:t>1. Kepatuhan Undang-Undang PDP (Pelindungan Data Pribadi):</w:t>
        <w:br/>
        <w:t>Sistem mengimplementasikan Zero-Knowledge Privacy Masking. Modul Intake Agent di awal secara otomatis menyamarkan (masking) identitas seperti NIK, Nama Pasien, dan Alamat sebelum data tersebut dikirimkan ke cloud LLM.</w:t>
        <w:br/>
        <w:t>2. Mitigasi Bias Terhadap Faskes Kecil:</w:t>
        <w:br/>
        <w:t>Untuk mencegah model AI "menghukum" RS tipe C/D secara tidak adil akibat volume klaimnya yang berbeda, teknik Stratified Isolation Forest yang kami gunakan melakukan klasterisasi ketat sesuai kelas rumah sakit sebelum menetapkan baseline fraud.</w:t>
        <w:br/>
        <w:t>3. Superposisi Manusia (Human-in-the-Loop):</w:t>
        <w:br/>
        <w:t>Mesin tidak akan pernah secara sepihak membatalkan pembayaran faskes. Klaim yang ditandai merah (Fraudulent) diklasifikasikan sebagai ESCALATED, memberikan wewenang penuh kepada Dokter Verifikator manusia untuk mengetuk palu keputusan terakhir.</w:t>
      </w:r>
    </w:p>
    <w:p>
      <w:pPr>
        <w:pStyle w:val="Heading1"/>
      </w:pPr>
      <w:r>
        <w:t>Bagian 9: Profil Tim &amp; Eksekusi</w:t>
      </w:r>
    </w:p>
    <w:p>
      <w:r>
        <w:t>Inovasi ini diusung oleh tim spesialis yang menguasai spektrum teknis secara End-to-End:</w:t>
        <w:br/>
        <w:t>- AI/ML Engineer (Fokus pada optimasi XGBoost, Vector Database Qdrant, dan orkestrasi LangGraph AI Agent).</w:t>
        <w:br/>
        <w:t>- UI/UX &amp; Frontend Engineer (Mendesain antarmuka Next.js yang familiar bagi verifikator BPJS agar proses adopsi teknologi berjalan mulus tanpa friction).</w:t>
        <w:br/>
        <w:t>- Medical Data Scientist (Pakar domain yang merumuskan aturan INA-CBG, menyusun Fraud Control Matrix, dan mengatur logika parameter medis di RAG).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