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Draf Proposal Healthkathon 2026: GARDA-JKN</w:t>
      </w:r>
    </w:p>
    <w:p>
      <w:pPr>
        <w:pStyle w:val="Heading1"/>
      </w:pPr>
      <w:r>
        <w:t>Bagian 1: Identitas &amp; Positioning</w:t>
      </w:r>
    </w:p>
    <w:p>
      <w:r>
        <w:t>A. Identitas Solusi &amp; Tagline</w:t>
        <w:br/>
        <w:t>• Nama Solusi: GARDA-JKN (Generative Agent for Risk Detection and Adjudication)</w:t>
        <w:br/>
        <w:t>• Tagline: Detect Smarter, Protect JKN: Mesin Penalaran Klinis Berbasis Agentic AI untuk Adjudikasi Klaim Pra-Pembayaran yang Cerdas, Transparan, dan Berkeadilan.</w:t>
        <w:br/>
        <w:t>• Nilai Utama (Core Value): Mentransformasi verifikasi klaim BPJS Kesehatan dari pengawasan klerikal pasca-bayar (post-payment) menjadi adjudikasi cerdas pra-pembayaran (pre-payment) berbasis penalaran medis berstandar Pedoman Nasional Pelayanan Kedokteran (PNPK Kemenkes RI).</w:t>
      </w:r>
    </w:p>
    <w:p>
      <w:r>
        <w:t>B. Kategori &amp; Sub-Kategori Tantangan</w:t>
        <w:br/>
        <w:t>• Kategori Utama: Efisiensi Risiko pada Fasilitas Kesehatan (FKRTL)</w:t>
        <w:br/>
        <w:t>• Sub-Kategori Fokus:</w:t>
        <w:br/>
        <w:t xml:space="preserve">  1. Upcoding &amp; Unbundling: Manipulasi tingkat keparahan diagnosis (severity level I/II/III) dan pemecahan paket layanan INA-CBG yang tidak sesuai indikasi klinis.</w:t>
        <w:br/>
        <w:t xml:space="preserve">  2. Phantom &amp; Repeat Billing: Pengajuan klaim fiktif atas tindakan/layanan yang tidak pernah diberikan atau klaim berulang pada episode rawat yang sama.</w:t>
        <w:br/>
        <w:t xml:space="preserve">  3. Prolonged Stay &amp; Readmisi Berulang: Perpanjangan lama rawat inap (LOS) tanpa justifikasi medis serta pemulangan dini yang disengaja untuk klaim berulang.</w:t>
      </w:r>
    </w:p>
    <w:p>
      <w:r>
        <w:t>C. Positioning Strategis &amp; Diferensiasi Unik</w:t>
        <w:br/>
        <w:t>Di tengah keterbatasan sistem deteksi kecurangan saat ini, GARDA-JKN mendefinisikan ulang lanskap adjudikasi klaim melalui tiga pilar positioning pembeda:</w:t>
        <w:br/>
        <w:t>1. Bukan Sekadar Heuristik Statis (Rule-Based Biasa): Sistem aturan statis konvensional sangat kaku dan rentan dimanipulasi (gaming the system). GARDA-JKN menggabungkan Machine Learning adaptif (Stratified Isolation Forest &amp; XGBoost) yang mampu membedah anomali non-linear lintas 14 strata fasilitas kesehatan tanpa bias ukuran rumah sakit.</w:t>
        <w:br/>
        <w:t>2. Bukan "Black-Box AI" yang Memicu Friksi: Mayoritas sistem AI ditolak oleh faskes karena hanya mengeluarkan skor probabilitas tanpa alasan medis yang jelas. GARDA-JKN menghadirkan Explainable AI berbasis Agentic RAG yang memvalidasi setiap temuan dengan rujukan eksak bab, tabel, dan halaman dari PNPK Kemenkes secara otomatis.</w:t>
        <w:br/>
        <w:t>3. Arsitektur Pra-Pembayaran Nir-Friksi (Zero-Disruption Middleware): Beroperasi sebagai middleware cerdas yang terhubung langsung ke Web Service V-Claim BPJS Kesehatan, menyelesaikan adjudikasi dalam hitungan detik tanpa merombak sistem eksisting, sekaligus menjamin kendali hukum tetap berada di tangan Dokter Verifikator (Human-in-the-Loop).</w:t>
      </w:r>
    </w:p>
    <w:p>
      <w:r>
        <w:t>D. Identitas Tim Pengusul &amp; Sinergi Multidisiplin</w:t>
        <w:br/>
        <w:t>GARDA-JKN diusung oleh tim lintas disiplin yang memadukan keahlian rekayasa kecerdasan artifisial, arsitektur perangkat lunak skala enterprise, dan kepakaran domain klinis:</w:t>
        <w:br/>
        <w:t>• Lead AI &amp; Machine Learning Engineer: Mengembangkan model deteksi anomali (Stratified Isolation Forest, XGBoost), arsitektur basis data vektor Qdrant, dan orkestrasi penalaran agen LLM (LangGraph).</w:t>
        <w:br/>
        <w:t>• Fullstack &amp; Health Systems Integration Engineer: Mengarsitekturi microservice pre-payment middleware (FastAPI), integrasi bridging API V-Claim BPJS Kesehatan, dan antarmuka dasbor verifikator responsif.</w:t>
        <w:br/>
        <w:t>• Clinical Data &amp; Health Domain Specialist: Memformulasikan Fraud Control Matrix, kurasi ontologi medis PNPK Kemenkes, validasi korelasi diagnosis komorbiditas INA-CBG, serta penjaminan mutu anti-halusinasi medis (DeepEval).</w:t>
      </w:r>
    </w:p>
    <w:p>
      <w:pPr>
        <w:pStyle w:val="Heading1"/>
      </w:pPr>
      <w:r>
        <w:t>Bagian 2: Masalah &amp; Urgensi</w:t>
      </w:r>
    </w:p>
    <w:p>
      <w:r>
        <w:t>Spesifisitas Masalah:</w:t>
        <w:br/>
        <w:t>Kebocoran dana Program JKN akibat fraud sistemik di Fasilitas Kesehatan Tingkat Lanjut (FKRTL). Modus utama mencakup Upcoding (manipulasi tingkat severity INA-CBG agar tarif lebih mahal), Phantom Billing (klaim pasien/tindakan fiktif), dan Readmisi (pemecahan episode rawat inap).</w:t>
      </w:r>
    </w:p>
    <w:p>
      <w:r>
        <w:t>Dukungan Data &amp; Urgensi:</w:t>
        <w:br/>
        <w:t>- Kerugian Finansial: Berdasarkan tinjauan KPK dan Kemenkes (2024), estimasi kebocoran dana JKN mencapai 5-10% dari total beban klaim, atau setara dengan Rp10 hingga Rp15 Triliun per tahun. Bahkan pada Juli 2024, KPK menemukan konfirmasi Phantom Billing senilai Rp35 Miliar hanya dari 3 rumah sakit sebagai fenomena puncak gunung es.</w:t>
        <w:br/>
        <w:t>- Beban Kerja Ekstrem (Fatigue): Pada tahun 2023, layanan JKN menyentuh 606,7 juta kunjungan. Verifikator medis BPJS Kesehatan dihadapkan pada 8 hingga 12 juta klaim FKRTL per bulan. Dengan rasio ribuan klaim per verifikator dan batas waktu pencairan SLA (Service Level Agreement) 15 hari, verifikasi manual sangat rentan human error dan mustahil meneliti rekam medis 100% secara akurat.</w:t>
      </w:r>
    </w:p>
    <w:p>
      <w:r>
        <w:t>Jika kecurangan berlapis ini tidak ditekan di fase pre-payment menggunakan sistem pendeteksi cerdas yang mampu membedah pola non-linear secara seketika (real-time), kebocoran anggaran JKN akan menggerus keberlanjutan jaminan kesehatan nasional bagi ratusan juta rakyat Indonesia.</w:t>
      </w:r>
    </w:p>
    <w:p>
      <w:pPr>
        <w:pStyle w:val="Heading1"/>
      </w:pPr>
      <w:r>
        <w:t>Bagian 3: Solusi, Keunggulan &amp; Arsitektur</w:t>
      </w:r>
    </w:p>
    <w:p>
      <w:r>
        <w:t>Ide Solusi:</w:t>
        <w:br/>
        <w:t>Membangun platform verifikasi klaim 3-Lapis (Microservice) yang revolusioner:</w:t>
        <w:br/>
        <w:t>1. Lapis 1 (XGBoost + SHAP): Melakukan screening finansial berkecepatan tinggi dalam hitungan milidetik. Model ini menggunakan Stratified Isolation Forest dengan 14 primary strata, 12 Base CBG fallbacks, dan 18 CMG fallbacks untuk menghindari bias ukuran rumah sakit.</w:t>
        <w:br/>
        <w:t>2. Lapis 2 (Qdrant RAG - Advanced PDF Parsing): Mesin pencarian vektor medis otomatis. Mengatasi kelemahan RAG standar, sistem kami menggunakan PyMuPDF4LLM untuk mem-parsing Pedoman Nasional Pelayanan Kedokteran (PNPK). Teknologi ini berhasil mengekstrak "Tabel Bersarang" dan "Flowchart Medis" ke dalam format Markdown murni, menjaga konteks relasional medis yang vital agar tidak hilang.</w:t>
        <w:br/>
        <w:t>3. Lapis 3 (LLM Agent - LangGraph): Clinical Arbiter (DeepSeek-Chat) yang menyintesis temuan dari Lapis 1 &amp; 2. Sesuai dengan "Fraud Control Matrix" kami, sistem ini dapat membedakan indikasi heuristik (finansial gap) dengan bukti otentik (aturan PNPK) untuk menerbitkan rekomendasi Berita Acara yang definitif.</w:t>
      </w:r>
    </w:p>
    <w:p>
      <w:r>
        <w:t>Alur Workflow Sistem:</w:t>
        <w:br/>
        <w:t>Klaim RS Masuk -&gt; Lapis 1 (Financial Screening) -&gt; Jika skor risiko tinggi, klaim dilempar ke Lapis 2 (Qdrant mencari dokumen medis relevan) -&gt; Konteks digabung ke Lapis 3 (LLM Arbiter) -&gt; LLM mengeluarkan Keputusan (Auto-Approve / Downgrade / Escalate). Jika statusnya "Escalate", maka akan diserahkan ke Dasbor Manusia (Human-in-the-Loop).</w:t>
      </w:r>
    </w:p>
    <w:p>
      <w:pPr>
        <w:jc w:val="center"/>
      </w:pPr>
      <w:r>
        <w:drawing>
          <wp:inline xmlns:a="http://schemas.openxmlformats.org/drawingml/2006/main" xmlns:pic="http://schemas.openxmlformats.org/drawingml/2006/picture">
            <wp:extent cx="4389120" cy="5242560"/>
            <wp:docPr id="1" name="Picture 1"/>
            <wp:cNvGraphicFramePr>
              <a:graphicFrameLocks noChangeAspect="1"/>
            </wp:cNvGraphicFramePr>
            <a:graphic>
              <a:graphicData uri="http://schemas.openxmlformats.org/drawingml/2006/picture">
                <pic:pic>
                  <pic:nvPicPr>
                    <pic:cNvPr id="0" name="plot_workflow_system.png"/>
                    <pic:cNvPicPr/>
                  </pic:nvPicPr>
                  <pic:blipFill>
                    <a:blip r:embed="rId9"/>
                    <a:stretch>
                      <a:fillRect/>
                    </a:stretch>
                  </pic:blipFill>
                  <pic:spPr>
                    <a:xfrm>
                      <a:off x="0" y="0"/>
                      <a:ext cx="4389120" cy="5242560"/>
                    </a:xfrm>
                    <a:prstGeom prst="rect"/>
                  </pic:spPr>
                </pic:pic>
              </a:graphicData>
            </a:graphic>
          </wp:inline>
        </w:drawing>
      </w:r>
    </w:p>
    <w:p>
      <w:pPr>
        <w:pStyle w:val="Heading2"/>
      </w:pPr>
      <w:r>
        <w:t>Mekanisme Integrasi ke Ekosistem V-Claim BPJS (Pre-Payment Middleware)</w:t>
      </w:r>
    </w:p>
    <w:p>
      <w:r>
        <w:t>Agar implementasi di lapangan tidak menimbulkan friksi operasional maupun penolakan dari pihak faskes dan internal BPJS, GARDA-JKN dirancang mengadopsi prinsip "Zero-Disruption Integration". Sistem ini tidak menggantikan aplikasi V-Claim eksisting, melainkan berfungsi sebagai Intelligent Middleware (Pintu Gerbang Cerdas Pra-Pembayaran) yang terhubung melalui tiga pilar integrasi teknis:</w:t>
      </w:r>
    </w:p>
    <w:p>
      <w:r>
        <w:t>1. Integrasi Web Service Bridging V-Claim (API Interceptor):</w:t>
        <w:br/>
        <w:t>GARDA-JKN terhubung langsung ke antrean data Web Service (WS) Bridging resmi BPJS Kesehatan yang sudah digunakan oleh ribuan SIMRS di seluruh Indonesia. Komunikasi data berlangsung menggunakan protokol RESTful JSON dengan standar autentikasi resmi BPJS (Header HMAC-SHA256, Consumer ID, Secret Key, dan enkripsi payload AES-256). Saat faskes menekan tombol "Kirim Klaim", payload secara otomatis disaring terlebih dahulu oleh GARDA-JKN. Klaim wajar (Inlier) langsung diteruskan untuk Auto-Approval pencairan dana (&lt;100 milidetik).</w:t>
      </w:r>
    </w:p>
    <w:p>
      <w:r>
        <w:t>2. Embedded AI Review Panel di Antarmuka Verifikator V-Claim:</w:t>
        <w:br/>
        <w:t>Bagi klaim yang memerlukan intervensi manusia (status ESCALATED), dokter verifikator BPJS tidak perlu membuka peramban atau sistem terpisah. Melalui integrasi Webhook dan Micro-Frontend Extension, panel samping (side-panel) GARDA-JKN akan otomatis muncul di dalam antarmuka V-Claim yang sedang dibuka petugas. Panel ini menyajikan transparansi skor SHAP, kutipan pasal PNPK Kemenkes otentik dari Qdrant RAG, serta draf Berita Acara yang siap diketuk palu melalui tombol tindakan hukum (Setujui / Downgrade / Tolak).</w:t>
      </w:r>
    </w:p>
    <w:p>
      <w:r>
        <w:t>3. Interoperabilitas Data Klinis Elektronik (SatuSehat &amp; HL7 FHIR):</w:t>
        <w:br/>
        <w:t>Untuk kebutuhan audit pembuktian medis autentik (misal: verifikasi hasil laboratorium kreatinin/troponin atau rekam EKG guna menangkal phantom billing), GARDA-JKN siap menarik berkas Rekam Medis Elektronik (RME) melalui integrasi Platform SatuSehat Kemenkes RI berstandar HL7 FHIR (Fast Healthcare Interoperability Resources) pada resource Observation dan DiagnosticReport.</w:t>
      </w:r>
    </w:p>
    <w:p>
      <w:pPr>
        <w:pStyle w:val="Heading1"/>
      </w:pPr>
      <w:r>
        <w:t>Bagian 4: Pendekatan Teknis &amp; Data (Visualisasi)</w:t>
      </w:r>
    </w:p>
    <w:p>
      <w:pPr>
        <w:pStyle w:val="Heading2"/>
      </w:pPr>
      <w:r>
        <w:t>A. Sumber dan Karakteristik Data (The Golden Dataset)</w:t>
      </w:r>
    </w:p>
    <w:p>
      <w:r>
        <w:t>Dalam membangun fondasi analitik yang kokoh, GARDA-JKN mengintegrasikan data operasional resmi BPJS Kesehatan yang mencakup aspek administratif, finansial, dan klinis. Penggabungan tabel relasional ini dirancang khusus untuk membedah korelasi antara tarif klaim dengan riwayat medis pasien:</w:t>
      </w:r>
    </w:p>
    <w:p>
      <w:r>
        <w:t>• Sumber Data Empiris: Menggabungkan data kunjungan FKRTL (202403_fkrtl.dta) untuk variabel biaya dan Length of Stay, dengan data diagnosis sekunder (202405_diagnosissekunder.dta) berbasis nomor kunjungan (FKL02) guna memvalidasi komorbiditas penyerta.</w:t>
      </w:r>
    </w:p>
    <w:p>
      <w:r>
        <w:t>• Strategi Stratified Sampling (5.000 Klaim): Dari total populasi ~4 juta baris klaim, kami mengekstrak 5.000 sampel representatif (The Golden Dataset). Langkah metodologis ini diambil untuk merepresentasikan proporsi seimbang Rumah Sakit Kelas A, B, C, dan D serta menghindari jebakan extreme class imbalance (bias terhadap klaim normal).</w:t>
      </w:r>
    </w:p>
    <w:p>
      <w:pPr>
        <w:pStyle w:val="Heading2"/>
      </w:pPr>
      <w:r>
        <w:t>B. Metode Pelabelan AI (Semi-Supervised Learning) &amp; Validasi Outlier</w:t>
      </w:r>
    </w:p>
    <w:p>
      <w:r>
        <w:t>Tantangan mendasar dalam mendeteksi fraud klaim kesehatan di Indonesia adalah ketiadaan label biner (ground-truth fraud) pada data mentah operasional BPJS. Untuk memecahkan kendala ini secara objektif tanpa pelabelan manual yang subjektif, GARDA-JKN mengadopsi paradigma Semi-Supervised Learning dengan mengimplementasikan algoritma Stratified Isolation Forest. Algoritma ini membandingkan deviasi klaim hanya terhadap kelompok rekanan faskes yang setara (peer-group comparison):</w:t>
      </w:r>
    </w:p>
    <w:p>
      <w:pPr>
        <w:jc w:val="center"/>
      </w:pPr>
      <w:r>
        <w:drawing>
          <wp:inline xmlns:a="http://schemas.openxmlformats.org/drawingml/2006/main" xmlns:pic="http://schemas.openxmlformats.org/drawingml/2006/picture">
            <wp:extent cx="4114800" cy="2468880"/>
            <wp:docPr id="2" name="Picture 2"/>
            <wp:cNvGraphicFramePr>
              <a:graphicFrameLocks noChangeAspect="1"/>
            </wp:cNvGraphicFramePr>
            <a:graphic>
              <a:graphicData uri="http://schemas.openxmlformats.org/drawingml/2006/picture">
                <pic:pic>
                  <pic:nvPicPr>
                    <pic:cNvPr id="0" name="plot_eda_distribution.png"/>
                    <pic:cNvPicPr/>
                  </pic:nvPicPr>
                  <pic:blipFill>
                    <a:blip r:embed="rId10"/>
                    <a:stretch>
                      <a:fillRect/>
                    </a:stretch>
                  </pic:blipFill>
                  <pic:spPr>
                    <a:xfrm>
                      <a:off x="0" y="0"/>
                      <a:ext cx="4114800" cy="2468880"/>
                    </a:xfrm>
                    <a:prstGeom prst="rect"/>
                  </pic:spPr>
                </pic:pic>
              </a:graphicData>
            </a:graphic>
          </wp:inline>
        </w:drawing>
      </w:r>
    </w:p>
    <w:p>
      <w:r>
        <w:t>Berdasarkan visualisasi grafik di atas, sistem berhasil mengklasifikasikan 5.000 klaim mentah ke dalam dua klaster terukur:</w:t>
      </w:r>
    </w:p>
    <w:p>
      <w:r>
        <w:t>• Klaster Inlier (Klaim Normal - 93,0%): Sebanyak 4.651 klaim terkonfirmasi memiliki pola biaya dan durasi rawat yang wajar serta selaras dengan pedoman klinis.</w:t>
      </w:r>
    </w:p>
    <w:p>
      <w:r>
        <w:t>• Klaster Outlier (Indikasi Fraud - 7,0%): Sebanyak 349 klaim berhasil diisolasi sebagai anomali statistik berisiko tinggi yang menjadi target prioritas verifikasi.</w:t>
      </w:r>
    </w:p>
    <w:p>
      <w:r>
        <w:t>• Validasi Realitas Empiris: Rasio temuan anomali sebesar 7,0% ini sangat presisi dan konsisten dengan hasil audit KPK dan Kemenkes (2024) yang menaksir kebocoran dana JKN akibat fraud berada pada rentang 5% hingga 10% per tahun.</w:t>
      </w:r>
    </w:p>
    <w:p>
      <w:pPr>
        <w:pStyle w:val="Heading2"/>
      </w:pPr>
      <w:r>
        <w:t>C. Bobot Fitur Kritis &amp; Interpretabilitas Model (Explainable AI - SHAP)</w:t>
      </w:r>
    </w:p>
    <w:p>
      <w:r>
        <w:t>Guna menjamin akuntabilitas hukum dan mencegah fenomena "Black-Box AI", model Balanced Bagging XGBoost yang dilatih di atas label anomali tersebut dilengkapi dengan modul interpretabilitas SHAP (SHapley Additive exPlanations). Pendekatan ini memungkinkan dokter verifikator memahami persis variabel apa yang memicu kecurigaan sistem:</w:t>
      </w:r>
    </w:p>
    <w:p>
      <w:pPr>
        <w:jc w:val="center"/>
      </w:pPr>
      <w:r>
        <w:drawing>
          <wp:inline xmlns:a="http://schemas.openxmlformats.org/drawingml/2006/main" xmlns:pic="http://schemas.openxmlformats.org/drawingml/2006/picture">
            <wp:extent cx="4114800" cy="2468880"/>
            <wp:docPr id="3" name="Picture 3"/>
            <wp:cNvGraphicFramePr>
              <a:graphicFrameLocks noChangeAspect="1"/>
            </wp:cNvGraphicFramePr>
            <a:graphic>
              <a:graphicData uri="http://schemas.openxmlformats.org/drawingml/2006/picture">
                <pic:pic>
                  <pic:nvPicPr>
                    <pic:cNvPr id="0" name="plot_feature_importance.png"/>
                    <pic:cNvPicPr/>
                  </pic:nvPicPr>
                  <pic:blipFill>
                    <a:blip r:embed="rId11"/>
                    <a:stretch>
                      <a:fillRect/>
                    </a:stretch>
                  </pic:blipFill>
                  <pic:spPr>
                    <a:xfrm>
                      <a:off x="0" y="0"/>
                      <a:ext cx="4114800" cy="2468880"/>
                    </a:xfrm>
                    <a:prstGeom prst="rect"/>
                  </pic:spPr>
                </pic:pic>
              </a:graphicData>
            </a:graphic>
          </wp:inline>
        </w:drawing>
      </w:r>
    </w:p>
    <w:p>
      <w:r>
        <w:t>Berdasarkan grafik feature importance SHAP, tiga pemicu utama anomali berkorelasi kuat dengan tipologi fraud di rumah sakit:</w:t>
      </w:r>
    </w:p>
    <w:p>
      <w:r>
        <w:t>• Biaya Tagih Per Hari (Indikasi Phantom Billing): Deteksi lonjakan tagihan tanpa adanya penambahan hari rawat atau prosedur invasif yang rasional.</w:t>
      </w:r>
    </w:p>
    <w:p>
      <w:r>
        <w:t>• Durasi Rawat Inap / LOS (Indikasi Manipulasi Hari Rawat): Hari rawat yang melampaui batas deviasi standar klinis PNPK demi menggelembungkan klaim.</w:t>
      </w:r>
    </w:p>
    <w:p>
      <w:r>
        <w:t>• Diskrepansi Severity Level (Indikasi Upcoding): Pengajuan klaim tingkat keparahan tinggi (Severity III) yang diajukan tanpa adanya bukti diagnosis sekunder yang sah.</w:t>
      </w:r>
    </w:p>
    <w:p>
      <w:pPr>
        <w:pStyle w:val="Heading1"/>
      </w:pPr>
      <w:r>
        <w:t>Bagian 5: Tingkat Kematangan, Prototype &amp; Bukti Evaluasi (MVP)</w:t>
      </w:r>
    </w:p>
    <w:p>
      <w:pPr>
        <w:pStyle w:val="Heading2"/>
      </w:pPr>
      <w:r>
        <w:t>A. Status Kematangan Sistem (Minimum Viable Product - End-to-End Functional)</w:t>
      </w:r>
    </w:p>
    <w:p>
      <w:r>
        <w:t>Sistem GARDA-JKN telah melewati fase konseptual awal dan saat ini berstatus Minimum Viable Product (MVP) fungsional penuh (Tingkat Kesiapterapan Teknologi / TRL 6–7). Seluruh subsistem—mulai dari Intake &amp; Security Guardrail, Mesin Skrining XGBoost (Lapis 1), Qdrant Vector Knowledge Base (Lapis 2), LangGraph Clinical Arbiter (Lapis 3), hingga Antarmuka Dasbor Verifikator Next.js—telah terhubung secara end-to-end melalui protokol REST API asynchronous dan Server-Sent Events (SSE):</w:t>
      </w:r>
    </w:p>
    <w:p>
      <w:r>
        <w:t>• Kesiapan Sistem (TRL 6–7): Solusi telah berfungsi utuh sebagai platform end-to-end fungsional yang mampu memproses klaim mentah rumah sakit hingga menghasilkan penetapan Berita Acara resmi.</w:t>
      </w:r>
    </w:p>
    <w:p>
      <w:r>
        <w:t>• Arsitektur Terintegrasi &amp; Asynchronous: Backend FastAPI dan Frontend Next.js berkomunikasi melalui microservice decoupled dengan dukungan real-time streaming event (SSE).</w:t>
      </w:r>
    </w:p>
    <w:p>
      <w:r>
        <w:t>• Eksekusi Deterministik &amp; Auditabel: Seluruh orkestrasi multi-tahap dikendalikan oleh LangGraph StateGraph guna menjamin eksekusi yang patuh regulasi tanpa risiko infinite loop.</w:t>
      </w:r>
    </w:p>
    <w:p>
      <w:pPr>
        <w:pStyle w:val="Heading2"/>
      </w:pPr>
      <w:r>
        <w:t>B. Bukti Kinerja Klasifikasi Machine Learning (Lapis 1)</w:t>
      </w:r>
    </w:p>
    <w:p>
      <w:r>
        <w:t>Untuk memvalidasi keandalan Lapis 1 dalam menyaring anomali berkecepatan tinggi, model Balanced Bagging XGBoost dan Stratified Isolation Forest diuji secara komprehensif menggunakan The Golden Dataset (5.000 data klaim historis riil). Evaluasi difokuskan pada metrik ketahanan data tidak seimbang (imbalanced data metrics) guna memastikan sensitivitas deteksi kecurangan:</w:t>
      </w:r>
    </w:p>
    <w:p>
      <w:r>
        <w:t>• Skala Pengujian Empiris: 5.000 data historis klaim riil BPJS Kesehatan yang mencakup representasi berimbang Rumah Sakit Kelas A, B, C, dan D.</w:t>
      </w:r>
    </w:p>
    <w:p>
      <w:r>
        <w:t>• Area Under Precision-Recall Curve (PR-AUC: 0.9958): Skor PR-AUC dan Average Precision mencapai 0.9958, membuktikan presisi diskriminasi yang luar biasa pada kasus anomali minoritas.</w:t>
      </w:r>
    </w:p>
    <w:p>
      <w:r>
        <w:t>• Area Under ROC Curve (ROC-AUC: 0.9996): Membuktikan separasi sempurna antara klaim wajar dan klaim anomali tanpa risiko tumpang-tindih klasifikasi.</w:t>
      </w:r>
    </w:p>
    <w:p>
      <w:r>
        <w:t>• Kinerja Kelas Fraud (F1-Score: 97,14%): Model mencatatkan Precision 97,14% dan Recall 97,14% pada kelas fraud, memastikan klaim manipulatif terisolasi secara efektif.</w:t>
      </w:r>
    </w:p>
    <w:p>
      <w:r>
        <w:t>• Operational Hit Rate (Precision@100: 70,0%): Dari 100 klaim teratas dengan skor anomali tertinggi, 70 klaim terkonfirmasi nyata memuat fraud saat diaudit.</w:t>
      </w:r>
    </w:p>
    <w:p>
      <w:r>
        <w:t>• Kecepatan Inferensi Skrining (&lt; 100 milidetik): Waktu komputasi klasifikasi Lapis 1 berlangsung instan, siap menangani ribuan klaim per detik.</w:t>
      </w:r>
    </w:p>
    <w:p>
      <w:r>
        <w:t>Berikut adalah visualisasi Matriks Kebingungan (Confusion Matrix) dan Kurva ROC Lapis 1:</w:t>
      </w:r>
    </w:p>
    <w:p>
      <w:pPr>
        <w:jc w:val="center"/>
      </w:pPr>
      <w:r>
        <w:drawing>
          <wp:inline xmlns:a="http://schemas.openxmlformats.org/drawingml/2006/main" xmlns:pic="http://schemas.openxmlformats.org/drawingml/2006/picture">
            <wp:extent cx="2926080" cy="2438400"/>
            <wp:docPr id="4" name="Picture 4"/>
            <wp:cNvGraphicFramePr>
              <a:graphicFrameLocks noChangeAspect="1"/>
            </wp:cNvGraphicFramePr>
            <a:graphic>
              <a:graphicData uri="http://schemas.openxmlformats.org/drawingml/2006/picture">
                <pic:pic>
                  <pic:nvPicPr>
                    <pic:cNvPr id="0" name="plot_confusion_matrix.png"/>
                    <pic:cNvPicPr/>
                  </pic:nvPicPr>
                  <pic:blipFill>
                    <a:blip r:embed="rId12"/>
                    <a:stretch>
                      <a:fillRect/>
                    </a:stretch>
                  </pic:blipFill>
                  <pic:spPr>
                    <a:xfrm>
                      <a:off x="0" y="0"/>
                      <a:ext cx="2926080" cy="2438400"/>
                    </a:xfrm>
                    <a:prstGeom prst="rect"/>
                  </pic:spPr>
                </pic:pic>
              </a:graphicData>
            </a:graphic>
          </wp:inline>
        </w:drawing>
      </w:r>
    </w:p>
    <w:p>
      <w:pPr>
        <w:jc w:val="center"/>
      </w:pPr>
      <w:r>
        <w:drawing>
          <wp:inline xmlns:a="http://schemas.openxmlformats.org/drawingml/2006/main" xmlns:pic="http://schemas.openxmlformats.org/drawingml/2006/picture">
            <wp:extent cx="3840480" cy="2880360"/>
            <wp:docPr id="5" name="Picture 5"/>
            <wp:cNvGraphicFramePr>
              <a:graphicFrameLocks noChangeAspect="1"/>
            </wp:cNvGraphicFramePr>
            <a:graphic>
              <a:graphicData uri="http://schemas.openxmlformats.org/drawingml/2006/picture">
                <pic:pic>
                  <pic:nvPicPr>
                    <pic:cNvPr id="0" name="plot_roc_curve.png"/>
                    <pic:cNvPicPr/>
                  </pic:nvPicPr>
                  <pic:blipFill>
                    <a:blip r:embed="rId13"/>
                    <a:stretch>
                      <a:fillRect/>
                    </a:stretch>
                  </pic:blipFill>
                  <pic:spPr>
                    <a:xfrm>
                      <a:off x="0" y="0"/>
                      <a:ext cx="3840480" cy="2880360"/>
                    </a:xfrm>
                    <a:prstGeom prst="rect"/>
                  </pic:spPr>
                </pic:pic>
              </a:graphicData>
            </a:graphic>
          </wp:inline>
        </w:drawing>
      </w:r>
    </w:p>
    <w:p>
      <w:r>
        <w:t>Visualisasi Confusion Matrix di atas membuktikan bahwa tingkat False Positive (salah menuduh klaim jujur sebagai fraud) ditekan hingga batas minimal. Hal ini menjamin kelancaran arus kas rumah sakit yang patuh. Kurva ROC yang menempel di batas kiri-atas menegaskan stabilitas generalisasi model di berbagai skenario pembiayaan.</w:t>
      </w:r>
    </w:p>
    <w:p>
      <w:pPr>
        <w:pStyle w:val="Heading2"/>
      </w:pPr>
      <w:r>
        <w:t>C. Bukti Evaluasi Penalaran Agentic AI &amp; Anti-Halusinasi (Lapis 2 &amp; 3 - LLMOps DeepEval)</w:t>
      </w:r>
    </w:p>
    <w:p>
      <w:r>
        <w:t>Berbeda dengan implementasi chatbot generik yang rentan mengarang informasi, GARDA-JKN menerapkan framework evaluasi otomatis berstandar industri (DeepEval) untuk mengaudit kebenaran penalaran medis Lapis 2 &amp; 3 berdasarkan kaidah RAG Triad. Hasil evaluasi benchmarking membuktikan kepatuhan klinis mutlak:</w:t>
      </w:r>
    </w:p>
    <w:p>
      <w:r>
        <w:t>• Faithfulness Score (1.00 / 100,0% - Sempurna): Seluruh fakta klinis dan pasal rujukan dalam Berita Acara yang diterbitkan LLM 100% bersumber langsung dari dokumen PNPK Kemenkes RI yang sah (Zero-Hallucination).</w:t>
      </w:r>
    </w:p>
    <w:p>
      <w:r>
        <w:t>• Answer Relevancy Score (1.00 / 100,0% - Sempurna): Seluruh resume adjudikasi 100% relevan, koheren, dan fokus menjawab anomali diagnosis serta tindakan klaim pasien.</w:t>
      </w:r>
    </w:p>
    <w:p>
      <w:r>
        <w:t>• Ketahanan Sistem (High-Reliability Fallback): Dilengkapi mekanisme parser deterministik berbasis Regular Expressions untuk menjamin penerbitan draf putusan resmi tetap berjalan jika terjadi kendala koneksi API LLM eksternal.</w:t>
      </w:r>
    </w:p>
    <w:p>
      <w:pPr>
        <w:jc w:val="center"/>
      </w:pPr>
      <w:r>
        <w:drawing>
          <wp:inline xmlns:a="http://schemas.openxmlformats.org/drawingml/2006/main" xmlns:pic="http://schemas.openxmlformats.org/drawingml/2006/picture">
            <wp:extent cx="4389120" cy="2508069"/>
            <wp:docPr id="6" name="Picture 6"/>
            <wp:cNvGraphicFramePr>
              <a:graphicFrameLocks noChangeAspect="1"/>
            </wp:cNvGraphicFramePr>
            <a:graphic>
              <a:graphicData uri="http://schemas.openxmlformats.org/drawingml/2006/picture">
                <pic:pic>
                  <pic:nvPicPr>
                    <pic:cNvPr id="0" name="plot_ai_evaluation.png"/>
                    <pic:cNvPicPr/>
                  </pic:nvPicPr>
                  <pic:blipFill>
                    <a:blip r:embed="rId14"/>
                    <a:stretch>
                      <a:fillRect/>
                    </a:stretch>
                  </pic:blipFill>
                  <pic:spPr>
                    <a:xfrm>
                      <a:off x="0" y="0"/>
                      <a:ext cx="4389120" cy="2508069"/>
                    </a:xfrm>
                    <a:prstGeom prst="rect"/>
                  </pic:spPr>
                </pic:pic>
              </a:graphicData>
            </a:graphic>
          </wp:inline>
        </w:drawing>
      </w:r>
    </w:p>
    <w:p>
      <w:r>
        <w:t>Capaian skor sempurna (100%) pada metrik Faithfulness dan Answer Relevancy memberikan garansi medikolegal bagi manajemen BPJS Kesehatan bahwa sistem kami tidak akan pernah mengarang aturan medis fiktif yang dapat merugikan pasien maupun faskes.</w:t>
      </w:r>
    </w:p>
    <w:p>
      <w:pPr>
        <w:pStyle w:val="Heading2"/>
      </w:pPr>
      <w:r>
        <w:t>D. Bukti Integrasi Antarmuka &amp; Uji End-to-End (Next.js VClaim UI &amp; Playwright Testing)</w:t>
      </w:r>
    </w:p>
    <w:p>
      <w:r>
        <w:t>Untuk menjamin kemudahan adopsi oleh verifikator medis BPJS di lapangan, GARDA-JKN mengusung filosofi Human-in-the-Loop yang diwujudkan dalam antarmuka berbasis web modern (Next.js &amp; Tailwind CSS). Seluruh interaksi antarmuka telah diverifikasi menggunakan pengujian otomatis End-to-End Playwright Testing:</w:t>
      </w:r>
    </w:p>
    <w:p>
      <w:r>
        <w:t>• Pengujian Otomatis End-to-End (Playwright MCP): Seluruh simulasi klaim—mulai dari input payload, transmisi API, eksekusi state machine, hingga rendering keputusan di peramban—lulus 100% tanpa kendala CORS atau network blocking.</w:t>
      </w:r>
    </w:p>
    <w:p>
      <w:r>
        <w:t>• Dasbor Verifikator Interaktif (Human-in-the-Loop): Menampilkan ringkasan audit SHAP, dasar hukum PNPK, dan tombol tindakan penetapan putusan hukum (Setujui / Downgrade / Tolak) yang berada di bawah kendali penuh dokter verifikator.</w:t>
      </w:r>
    </w:p>
    <w:p>
      <w:r>
        <w:t>• Konsol Real-Time Berbasis SSE: Memungkinkan verifikator memantau tahapan audit sistem secara seketika (live-streaming) dengan latensi pemrosesan total di bawah 10 detik per klaim.</w:t>
      </w:r>
    </w:p>
    <w:p>
      <w:pPr>
        <w:jc w:val="center"/>
      </w:pPr>
      <w:r>
        <w:drawing>
          <wp:inline xmlns:a="http://schemas.openxmlformats.org/drawingml/2006/main" xmlns:pic="http://schemas.openxmlformats.org/drawingml/2006/picture">
            <wp:extent cx="4389120" cy="9275064"/>
            <wp:docPr id="7" name="Picture 7"/>
            <wp:cNvGraphicFramePr>
              <a:graphicFrameLocks noChangeAspect="1"/>
            </wp:cNvGraphicFramePr>
            <a:graphic>
              <a:graphicData uri="http://schemas.openxmlformats.org/drawingml/2006/picture">
                <pic:pic>
                  <pic:nvPicPr>
                    <pic:cNvPr id="0" name="plot_ui_frontend.png"/>
                    <pic:cNvPicPr/>
                  </pic:nvPicPr>
                  <pic:blipFill>
                    <a:blip r:embed="rId15"/>
                    <a:stretch>
                      <a:fillRect/>
                    </a:stretch>
                  </pic:blipFill>
                  <pic:spPr>
                    <a:xfrm>
                      <a:off x="0" y="0"/>
                      <a:ext cx="4389120" cy="9275064"/>
                    </a:xfrm>
                    <a:prstGeom prst="rect"/>
                  </pic:spPr>
                </pic:pic>
              </a:graphicData>
            </a:graphic>
          </wp:inline>
        </w:drawing>
      </w:r>
    </w:p>
    <w:p>
      <w:r>
        <w:t>Bukti tangkapan layar di atas memperlihatkan antarmuka dasbor verifikator yang telah teruji secara live. Desain yang menyerupai SIMRS VClaim eksisting memastikan proses transisi dan adaptasi petugas BPJS dapat berlangsung mulus tanpa friksi operasional.</w:t>
      </w:r>
    </w:p>
    <w:p>
      <w:pPr>
        <w:pStyle w:val="Heading1"/>
      </w:pPr>
      <w:r>
        <w:t>Bagian 6: Rencana &amp; Model Bisnis (VHDIC Canvas)</w:t>
      </w:r>
    </w:p>
    <w:p>
      <w:r>
        <w:t>Guna memastikan keberlanjutan, kepatuhan regulasi, dan skalabilitas adopsi di ekosistem kesehatan nasional, perancangan GARDA-JKN dipetakan secara holistik menggunakan kerangka VHDIC Canvas (Value, Health Governance, Discovery, Design, dan Delivery):</w:t>
      </w:r>
    </w:p>
    <w:p>
      <w:pPr>
        <w:pStyle w:val="Heading2"/>
      </w:pPr>
      <w:r>
        <w:t>A. Pilar Value (Dampak Nilai 5-Dimensi Kesehatan)</w:t>
      </w:r>
    </w:p>
    <w:p>
      <w:r>
        <w:t>Pilar Nilai memetakan bagaimana solusi GARDA-JKN menghadirkan manfaat transformatif lintas dimensi pemangku kepentingan dalam ekosistem jaminan kesehatan:</w:t>
      </w:r>
    </w:p>
    <w:p>
      <w:r>
        <w:t>• Equity (Ekuitas Layanan): Mencegah diskriminasi terhadap rumah sakit tipe kecil (Kelas C/D dan faskes daerah 3T) melalui mekanisme Stratified Isolation Forest yang mengevaluasi klaim hanya terhadap kelompok rekanan faskes yang setara (peer-group), bukan disamaratakan dengan RS metropolitan.</w:t>
      </w:r>
    </w:p>
    <w:p>
      <w:r>
        <w:t>• Population Health (Dampak Populasi): Menjaga solvabilitas dan keberlanjutan jangka panjang Dana Jaminan Sosial (DJS) Kesehatan agar tetap mampu menopang Universal Health Coverage bagi 270+ juta rakyat Indonesia.</w:t>
      </w:r>
    </w:p>
    <w:p>
      <w:r>
        <w:t>• Patient Value (Perlindungan Pasien): Melindungi hak medis pasien dari praktik terapi berlebihan (over-treatment) atau tindakan invasif fiktif, serta mencegah hangusnya kuota/plafon manfaat biaya akibat manipulasi koding.</w:t>
      </w:r>
    </w:p>
    <w:p>
      <w:r>
        <w:t>• Provider Value (Kelancaran Faskes): Mempercepat arus kas (cash flow) faskes yang jujur, di mana klaim bersih (Inlier wajar) langsung diproses Auto-Approval dalam hitungan detik tanpa tertahan antrean audit manual.</w:t>
      </w:r>
    </w:p>
    <w:p>
      <w:r>
        <w:t>• Cost Efficiency (Efisiensi Finansial): Menekan beban operasional audit manual BPJS, meminimalisir sengketa biaya (dispute klaim), dan menutup celah kebocoran dana secara pre-payment.</w:t>
      </w:r>
    </w:p>
    <w:p>
      <w:pPr>
        <w:pStyle w:val="Heading2"/>
      </w:pPr>
      <w:r>
        <w:t>B. Pilar Health Governance (Tata Kelola Regulasi, Klinis &amp; Data)</w:t>
      </w:r>
    </w:p>
    <w:p>
      <w:r>
        <w:t>Tata kelola GARDA-JKN dirancang dengan standar kepatuhan hukum dan etika medis tertinggi untuk menjamin legitimasi setiap putusan adjudikasi:</w:t>
      </w:r>
    </w:p>
    <w:p>
      <w:r>
        <w:t>• Kepatuhan Regulasi (Regulatory Governance): Patuh penuh pada Permenkes No. 16/2019 tentang Pencegahan Fraud JKN, Permenkes No. 26/2021 (Pedoman INA-CBG), UU Kesehatan No. 17/2023, dan standar audit klaim BPJS Kesehatan.</w:t>
      </w:r>
    </w:p>
    <w:p>
      <w:r>
        <w:t>• Tata Kelola Klinis (Clinical Governance): Bersandar mutlak pada Pedoman Nasional Pelayanan Kedokteran (PNPK) Kemenkes RI, KMK Pedoman Praktik Klinis, dan konsensus profesi medis (KDIGO, PERKI, PAPDI).</w:t>
      </w:r>
    </w:p>
    <w:p>
      <w:r>
        <w:t>• Tata Kelola Data &amp; Privasi (Data Governance): Implementasi Zero-Knowledge Privacy Masking yang patuh UU PDP No. 27/2022. Identitas NIK dan nama pasien disensor otomatis sebelum diproses model, didukung enkripsi data berstandar AES-256.</w:t>
      </w:r>
    </w:p>
    <w:p>
      <w:r>
        <w:t>• Tata Kelola Teknologi (Technical Governance): Orkestrasi deterministik berbasis LangGraph StateGraph (bebas infinite loop), Model Registry versi terkelola, audit trail TreeSHAP, dan modul pertahanan Prompt Injection Guardrail.</w:t>
      </w:r>
    </w:p>
    <w:p>
      <w:pPr>
        <w:pStyle w:val="Heading2"/>
      </w:pPr>
      <w:r>
        <w:t>C. Pilar Discovery (Tantangan Masalah &amp; Pemangku Kepentingan)</w:t>
      </w:r>
    </w:p>
    <w:p>
      <w:r>
        <w:t>Pilar Penemuan mengidentifikasi akar permasalahan di lapangan serta memetakan entitas pengguna yang berinteraksi langsung dengan solusi:</w:t>
      </w:r>
    </w:p>
    <w:p>
      <w:r>
        <w:t>• Tantangan Utama (Challenge): Kebocoran dana JKN sebesar 5%–10% (Rp10–15 Triliun per tahun) akibat Upcoding, Phantom Billing, dan Readmisi, diperparah beban kerja verifikator 8–12 juta klaim per bulan dengan batas SLA 15 hari.</w:t>
      </w:r>
    </w:p>
    <w:p>
      <w:r>
        <w:t>• Pengguna Inti (Users): Dokter Verifikator Medis BPJS Kesehatan di Kantor Cabang/Kedeputian Wilayah, Tim Kendali Mutu dan Kendali Biaya (TKMKB), serta Tim Pencegahan Kecurangan internal Rumah Sakit.</w:t>
      </w:r>
    </w:p>
    <w:p>
      <w:r>
        <w:t>• Pemangku Kepentingan (Stakeholders): Direksi dan Dewan Pengawas BPJS Kesehatan, Kementerian Kesehatan RI, KPK, BPK, Asosiasi Rumah Sakit (PERSI), organisasi profesi dokter, dan seluruh rakyat peserta JKN.</w:t>
      </w:r>
    </w:p>
    <w:p>
      <w:pPr>
        <w:pStyle w:val="Heading2"/>
      </w:pPr>
      <w:r>
        <w:t>D. Pilar Design (Arsitektur Solusi &amp; Interoperabilitas)</w:t>
      </w:r>
    </w:p>
    <w:p>
      <w:r>
        <w:t>Rancang bangun sistem mengedepankan arsitektur modular yang adaptif terhadap infrastruktur teknologi informasi kesehatan nasional:</w:t>
      </w:r>
    </w:p>
    <w:p>
      <w:r>
        <w:t>• Arsitektur Microservice 3-Lapis: Pemisahan tugas berjenjang yang mencakup Skrining Cepat XGBoost (Lapis 1), Mesin Vektor Qdrant RAG (Lapis 2), dan LangGraph Clinical Arbiter LLM (Lapis 3).</w:t>
      </w:r>
    </w:p>
    <w:p>
      <w:r>
        <w:t>• Desain Pengalaman Pengguna (UX Design): Dasbor Next.js modern yang mengadopsi alur SIMRS VClaim eksisting, dilengkapi transparansi TreeSHAP, sitasi regulasi PNPK, dan tombol putusan interaktif Human-in-the-Loop via SSE.</w:t>
      </w:r>
    </w:p>
    <w:p>
      <w:r>
        <w:t>• Desain Integrasi (Interoperability): Komunikasi melalui RESTful API asynchronous yang siap dihubungkan (bridging) langsung dengan sistem V-Claim, E-Klaim INA-CBG, dan Rekam Medis Elektronik (RME) berstandar HL7 FHIR.</w:t>
      </w:r>
    </w:p>
    <w:p>
      <w:pPr>
        <w:pStyle w:val="Heading2"/>
      </w:pPr>
      <w:r>
        <w:t>E. Pilar Delivery (Validasi Bukti, Skalabilitas &amp; Model Bisnis)</w:t>
      </w:r>
    </w:p>
    <w:p>
      <w:r>
        <w:t>Strategi implementasi memadukan bukti empiris yang teruji dengan model keberlanjutan finansial yang sangat efisien bagi BPJS Kesehatan:</w:t>
      </w:r>
    </w:p>
    <w:p>
      <w:r>
        <w:t>• Bukti Validasi Kematangan (Evidence): Teruji pada 5.000 klaim historis dengan PR-AUC 0.9958, ROC-AUC 0.9996, F1-Score 97,14%, Precision@100 70,0%, serta evaluasi anti-halusinasi DeepEval bernilai sempurna 100%.</w:t>
      </w:r>
    </w:p>
    <w:p>
      <w:r>
        <w:t>• Rencana Skalabilitas (Scale): Peta jalan 3 fase yang terukur: Fase 1 (Simulasi lingkungan tertutup), Fase 2 (Pilot implementasi live-shadowing di RS Rujukan Tipe A), dan Fase 3 (Deployment skala nasional di seluruh Kedeputian Wilayah BPJS).</w:t>
      </w:r>
    </w:p>
    <w:p>
      <w:r>
        <w:t>• Model Bisnis Berbasis Penghematan (Value-Based Cost Saving): Dengan estimasi biaya komputasi server cloud yang sangat minim (&lt; Rp100 juta/tahun), keberhasilan GARDA-JKN dalam mencegah 1% saja dari total potensi fraud nasional berpotensi menghemat kas negara sebesar Rp100 hingga Rp150 Miliar per tahun (Return on Investment / ROI ekstrem positif).</w:t>
      </w:r>
    </w:p>
    <w:p>
      <w:pPr>
        <w:pStyle w:val="Heading1"/>
      </w:pPr>
      <w:r>
        <w:t>Bagian 7: Dampak &amp; Nilai Transformasi</w:t>
      </w:r>
    </w:p>
    <w:p>
      <w:r>
        <w:t>Implementasi GARDA-JKN membawa dampak transformatif yang fundamental pada ekosistem Jaminan Kesehatan Nasional, mengubah paradigma verifikasi klaim dari proses administratif manual yang melelahkan menjadi ekosistem audit cerdas berbasis bukti klinis:</w:t>
      </w:r>
    </w:p>
    <w:p>
      <w:pPr>
        <w:pStyle w:val="Heading2"/>
      </w:pPr>
      <w:r>
        <w:t>A. Transformasi SDM Verifikator (Dari Pekerja Klerikal Menjadi Medical Investigator)</w:t>
      </w:r>
    </w:p>
    <w:p>
      <w:r>
        <w:t>Saat ini, sekitar 1.500 hingga 2.000 staf verifikator BPJS Kesehatan di seluruh Indonesia menanggung beban kerja kognitif yang ekstrem, di mana satu orang verifikator rata-rata harus meneliti 3.500 hingga 5.000+ berkas klaim per bulan. Keterbatasan waktu memaksa mereka terjebak dalam pekerjaan klerikal mekanis (mencocokkan baris tabel dan berkas PDF secara terburu-buru), yang memicu tingginya risiko kelelahan keputusan (decision fatigue) dan human error.</w:t>
      </w:r>
    </w:p>
    <w:p>
      <w:r>
        <w:t>• Eliminasi Rutinitas Klerikal (70%–80% Auto-Approval): Dengan kemampuan skrining cerdas Lapis 1, klaim bersih yang terbukti wajar langsung diloloskan secara otomatis, membebaskan verifikator dari tugas repetitif bernilai rendah.</w:t>
      </w:r>
    </w:p>
    <w:p>
      <w:r>
        <w:t>• Elevasi Peran Menjadi "Clinical Adjudication Analyst": Verifikator BPJS naik kelas menjadi auditor investigatif tingkat lanjut. Waktu dan keahlian klinis mereka dialokasikan khusus untuk membedah 15%–20% kasus berisiko tinggi (status ESCALATED) yang membutuhkan analisis medikolegal mendalam.</w:t>
      </w:r>
    </w:p>
    <w:p>
      <w:r>
        <w:t>• Pemberdayaan Keputusan (Human-in-the-Loop): Didukung audit trail TreeSHAP dan sitasi pasal PNPK Kemenkes otomatis, dokter verifikator memiliki amunisi bukti yang kuat saat harus melakukan konfirmasi atau pembatalan klaim tanpa rasa ragu.</w:t>
      </w:r>
    </w:p>
    <w:p>
      <w:pPr>
        <w:pStyle w:val="Heading2"/>
      </w:pPr>
      <w:r>
        <w:t>B. Akselerasi Kecepatan Operasional (Kompresi Waktu dari Menit ke Detik)</w:t>
      </w:r>
    </w:p>
    <w:p>
      <w:r>
        <w:t>Berdasarkan studi Time and Motion di berbagai rumah sakit, verifikasi manual satu berkas rawat inap membutuhkan waktu 15 hingga 25 menit. Dengan volume 7 hingga 8,5 juta klaim FKRTL per bulan secara nasional, proses manual menciptakan kemacetan operasional (bottleneck) yang sangat parah.</w:t>
      </w:r>
    </w:p>
    <w:p>
      <w:r>
        <w:t>• Kompresi Waktu Audit (&gt;95% Peningkatan Kecepatan): GARDA-JKN memangkas durasi evaluasi per klaim dari 15–25 menit menjadi di bawah 10 detik per berkas dengan presisi mesin.</w:t>
      </w:r>
    </w:p>
    <w:p>
      <w:r>
        <w:t>• Cakupan Audit Penuh (100% Full-Population Pre-Payment Audit): Beralih dari metode konvensional yang hanya sanggup melakukan uji petik (sampling) 5%–10% berkas pasca-bayar, GARDA-JKN memungkinkan audit menyeluruh pada 100% populasi klaim secara real-time sebelum dana dicairkan.</w:t>
      </w:r>
    </w:p>
    <w:p>
      <w:r>
        <w:t>• Kepatuhan Mutlak Batas Waktu SLA 15 Hari: Menghilangkan risiko keterlambatan pembayaran klaim tanpa membebani verifikator dengan jam lembur berlebih.</w:t>
      </w:r>
    </w:p>
    <w:p>
      <w:pPr>
        <w:pStyle w:val="Heading2"/>
      </w:pPr>
      <w:r>
        <w:t>C. Dampak Multi-Penerima Manfaat (The Tri-Benefit Ecosystem)</w:t>
      </w:r>
    </w:p>
    <w:p>
      <w:r>
        <w:t>GARDA-JKN menciptakan sinergi nilai positif bagi seluruh pilar pemangku kepentingan kesehatan nasional:</w:t>
      </w:r>
    </w:p>
    <w:p>
      <w:r>
        <w:t>• Dampak bagi BPJS Kesehatan: Menutup celah kebocoran anggaran Rp10–15 Triliun per tahun secara pre-payment, menekan potensi defisit Dana Jaminan Sosial (DJS), dan membangun kredibilitas audit yang transparan di hadapan BPK dan KPK.</w:t>
      </w:r>
    </w:p>
    <w:p>
      <w:r>
        <w:t>• Dampak bagi Rumah Sakit / FKRTL: Melindungi likuiditas arus kas faskes (di mana 65%–85% revenue RS bergantung pada klaim BPJS). Klaim bersih cair tepat waktu, menekan dispute klaim dari 10%–15% menjadi &lt;2%, serta membebaskan RS dari beban bunga talangan Supply Chain Financing (SCF) perbankan.</w:t>
      </w:r>
    </w:p>
    <w:p>
      <w:r>
        <w:t>• Dampak bagi Peserta / Masyarakat: Melindungi pasien dari potensi tindakan medis berlebihan (over-treatment) atau prosedur invasif fiktif yang membahayakan keselamatan, serta menjamin kesinambungan hak jaminan kesehatan semesta (UHC) bagi 270+ juta rakyat Indonesia.</w:t>
      </w:r>
    </w:p>
    <w:p>
      <w:pPr>
        <w:pStyle w:val="Heading2"/>
      </w:pPr>
      <w:r>
        <w:t>D. Matriks Komparasi Transformasi: Sebelum vs Sesudah GARDA-JKN</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Dimensi Evaluasi</w:t>
            </w:r>
          </w:p>
        </w:tc>
        <w:tc>
          <w:tcPr>
            <w:tcW w:type="dxa" w:w="2880"/>
          </w:tcPr>
          <w:p>
            <w:r>
              <w:t>Sebelum (Metode Manual)</w:t>
            </w:r>
          </w:p>
        </w:tc>
        <w:tc>
          <w:tcPr>
            <w:tcW w:type="dxa" w:w="2880"/>
          </w:tcPr>
          <w:p>
            <w:r>
              <w:t>Sesudah (GARDA-JKN)</w:t>
            </w:r>
          </w:p>
        </w:tc>
      </w:tr>
      <w:tr>
        <w:tc>
          <w:tcPr>
            <w:tcW w:type="dxa" w:w="2880"/>
          </w:tcPr>
          <w:p>
            <w:r>
              <w:t>Waktu Verifikasi Per Berkas</w:t>
            </w:r>
          </w:p>
        </w:tc>
        <w:tc>
          <w:tcPr>
            <w:tcW w:type="dxa" w:w="2880"/>
          </w:tcPr>
          <w:p>
            <w:r>
              <w:t>15 – 25 menit (Rawat Inap)</w:t>
            </w:r>
          </w:p>
        </w:tc>
        <w:tc>
          <w:tcPr>
            <w:tcW w:type="dxa" w:w="2880"/>
          </w:tcPr>
          <w:p>
            <w:r>
              <w:t>Di bawah 10 detik per berkas</w:t>
            </w:r>
          </w:p>
        </w:tc>
      </w:tr>
      <w:tr>
        <w:tc>
          <w:tcPr>
            <w:tcW w:type="dxa" w:w="2880"/>
          </w:tcPr>
          <w:p>
            <w:r>
              <w:t>Cakupan Audit Klaim</w:t>
            </w:r>
          </w:p>
        </w:tc>
        <w:tc>
          <w:tcPr>
            <w:tcW w:type="dxa" w:w="2880"/>
          </w:tcPr>
          <w:p>
            <w:r>
              <w:t>Sampling 5% – 10% berkas</w:t>
            </w:r>
          </w:p>
        </w:tc>
        <w:tc>
          <w:tcPr>
            <w:tcW w:type="dxa" w:w="2880"/>
          </w:tcPr>
          <w:p>
            <w:r>
              <w:t>100% Populasi Klaim (Pre-Payment)</w:t>
            </w:r>
          </w:p>
        </w:tc>
      </w:tr>
      <w:tr>
        <w:tc>
          <w:tcPr>
            <w:tcW w:type="dxa" w:w="2880"/>
          </w:tcPr>
          <w:p>
            <w:r>
              <w:t>Rasio Sengketa / Dispute Klaim</w:t>
            </w:r>
          </w:p>
        </w:tc>
        <w:tc>
          <w:tcPr>
            <w:tcW w:type="dxa" w:w="2880"/>
          </w:tcPr>
          <w:p>
            <w:r>
              <w:t>Tinggi (10% – 15% tertahan)</w:t>
            </w:r>
          </w:p>
        </w:tc>
        <w:tc>
          <w:tcPr>
            <w:tcW w:type="dxa" w:w="2880"/>
          </w:tcPr>
          <w:p>
            <w:r>
              <w:t>Sangat Rendah (&lt; 2% terisolasi)</w:t>
            </w:r>
          </w:p>
        </w:tc>
      </w:tr>
      <w:tr>
        <w:tc>
          <w:tcPr>
            <w:tcW w:type="dxa" w:w="2880"/>
          </w:tcPr>
          <w:p>
            <w:r>
              <w:t>Beban Kerja Verifikator</w:t>
            </w:r>
          </w:p>
        </w:tc>
        <w:tc>
          <w:tcPr>
            <w:tcW w:type="dxa" w:w="2880"/>
          </w:tcPr>
          <w:p>
            <w:r>
              <w:t>Klerikal mekanis (3.500+ klaim/bulan)</w:t>
            </w:r>
          </w:p>
        </w:tc>
        <w:tc>
          <w:tcPr>
            <w:tcW w:type="dxa" w:w="2880"/>
          </w:tcPr>
          <w:p>
            <w:r>
              <w:t>Auditor Klinis Kasus Kompleks</w:t>
            </w:r>
          </w:p>
        </w:tc>
      </w:tr>
      <w:tr>
        <w:tc>
          <w:tcPr>
            <w:tcW w:type="dxa" w:w="2880"/>
          </w:tcPr>
          <w:p>
            <w:r>
              <w:t>Arus Kas (Cash Flow) Rumah Sakit</w:t>
            </w:r>
          </w:p>
        </w:tc>
        <w:tc>
          <w:tcPr>
            <w:tcW w:type="dxa" w:w="2880"/>
          </w:tcPr>
          <w:p>
            <w:r>
              <w:t>Tertunda 30–60 hari (Beban bunga SCF)</w:t>
            </w:r>
          </w:p>
        </w:tc>
        <w:tc>
          <w:tcPr>
            <w:tcW w:type="dxa" w:w="2880"/>
          </w:tcPr>
          <w:p>
            <w:r>
              <w:t>Pasti &amp; Tepat Waktu (&lt; 15 hari SLA)</w:t>
            </w:r>
          </w:p>
        </w:tc>
      </w:tr>
      <w:tr>
        <w:tc>
          <w:tcPr>
            <w:tcW w:type="dxa" w:w="2880"/>
          </w:tcPr>
          <w:p>
            <w:r>
              <w:t>Kepatuhan Regulasi Medis</w:t>
            </w:r>
          </w:p>
        </w:tc>
        <w:tc>
          <w:tcPr>
            <w:tcW w:type="dxa" w:w="2880"/>
          </w:tcPr>
          <w:p>
            <w:r>
              <w:t>Rentan human error &amp; beda persepsi</w:t>
            </w:r>
          </w:p>
        </w:tc>
        <w:tc>
          <w:tcPr>
            <w:tcW w:type="dxa" w:w="2880"/>
          </w:tcPr>
          <w:p>
            <w:r>
              <w:t>100% Rujukan Otentik PNPK Kemenkes</w:t>
            </w:r>
          </w:p>
        </w:tc>
      </w:tr>
    </w:tbl>
    <w:p>
      <w:pPr>
        <w:pStyle w:val="Heading1"/>
      </w:pPr>
      <w:r>
        <w:t>Bagian 8: Risiko, Privasi &amp; Etika</w:t>
      </w:r>
    </w:p>
    <w:p>
      <w:r>
        <w:t>Penerapan kecerdasan buatan pada data jaminan kesehatan publik menuntut tanggung jawab etis dan kepatuhan hukum yang mutlak. GARDA-JKN dirancang dengan mengedepankan prinsip kehati-hatian (prudence), akuntabilitas medikolegal, dan perlindungan privasi data peserta JKN sesuai standar regulasi nasional:</w:t>
      </w:r>
    </w:p>
    <w:p>
      <w:pPr>
        <w:pStyle w:val="Heading2"/>
      </w:pPr>
      <w:r>
        <w:t>A. Perlindungan Data Pribadi (Kepatuhan UU PDP No. 27/2022)</w:t>
      </w:r>
    </w:p>
    <w:p>
      <w:r>
        <w:t>Sesuai amanat Undang-Undang Nomor 27 Tahun 2022 tentang Pelindungan Data Pribadi (UU PDP), data rekam medis dan identitas peserta JKN merupakan Data Pribadi Spesifik yang wajib dilindungi kerahasiaannya dengan standar tertinggi:</w:t>
      </w:r>
    </w:p>
    <w:p>
      <w:r>
        <w:t>• Zero-Knowledge Privacy Masking: Seluruh data identitas pasien (NIK, Nama Lengkap, Nomor Kontak, dan Alamat) disensor secara otomatis di Intake Node ([DISENSOR_UNTUK_PRIVASI]) sebelum berkas klaim dialirkan ke mesin ML maupun cloud LLM. Model hanya memproses kode klinis (ICD-10, ICD-9-CM) dan variabel numerik agregat.</w:t>
      </w:r>
    </w:p>
    <w:p>
      <w:r>
        <w:t>• Kepatuhan Data Riset Teranonimkan: Model dilatih dan divalidasi strictly menggunakan data sampel resmi BPJS Kesehatan yang telah dide-identifikasi (de-identified dataset), tanpa pernah mengekspos data riil privat peserta JKN.</w:t>
      </w:r>
    </w:p>
    <w:p>
      <w:r>
        <w:t>• Enkripsi Data End-to-End: Seluruh transmisi API diamankan dengan protokol TLS 1.3 dan enkripsi muatan data (payload encryption) berstandar AES-256.</w:t>
      </w:r>
    </w:p>
    <w:p>
      <w:pPr>
        <w:pStyle w:val="Heading2"/>
      </w:pPr>
      <w:r>
        <w:t>B. Mitigasi Bias Algoritma &amp; Keterbatasan Model AI</w:t>
      </w:r>
    </w:p>
    <w:p>
      <w:r>
        <w:t>Salah satu risiko terbesar AI dalam adjudikasi klaim adalah bias sistemik yang dapat mendiskriminasi fasilitas kesehatan skala kecil di daerah perifer atau wilayah 3T:</w:t>
      </w:r>
    </w:p>
    <w:p>
      <w:r>
        <w:t>• Mitigasi Bias Skala Faskes (Stratified Isolation Forest): Algoritma Lapis 1 kami membagi baseline klaim ke dalam 14 strata faskes (RS Tipe A, B, C, D dan regionalisasi tarif). Klaim rumah sakit tipe kecil hanya dibandingkan terhadap rekanan setara (peer-group), bukan diadili menggunakan standar RS rujukan nasional metropolitan.</w:t>
      </w:r>
    </w:p>
    <w:p>
      <w:r>
        <w:t>• Pengakuan Batas Keterbatasan AI (Probabilistic Boundaries): Model AI GARDA-JKN beroperasi di ranah probabilitas statistik untuk mendeteksi anomali pola, bukan bertindak sebagai entitas pemberi vonis hukum.</w:t>
      </w:r>
    </w:p>
    <w:p>
      <w:r>
        <w:t>• Batasan Rujukan Klinis Mutlak: LLM Clinical Arbiter dikunci (constrained) hanya boleh merujuk pada teks regulasi Pedoman Nasional Pelayanan Kedokteran (PNPK) resmi Kemenkes RI yang terverifikasi di Qdrant Vector DB.</w:t>
      </w:r>
    </w:p>
    <w:p>
      <w:pPr>
        <w:pStyle w:val="Heading2"/>
      </w:pPr>
      <w:r>
        <w:t>C. Peran Manusia dalam Keputusan (Human-in-the-Loop Architecture)</w:t>
      </w:r>
    </w:p>
    <w:p>
      <w:r>
        <w:t>GARDA-JKN menganut filosofi bahwa AI hadir untuk mendukung dan memperkuat wewenang manusia (Decision Support System), bukan menggantikan peran dokter verifikator:</w:t>
      </w:r>
    </w:p>
    <w:p>
      <w:r>
        <w:t>• Non-Autonomous Adjudication: Sistem mesin tidak memiliki kewenangan hukum untuk membatalkan atau menolak klaim rumah sakit secara sepihak. Seluruh klaim mencurigakan dialihkan ke status ESCALATED.</w:t>
      </w:r>
    </w:p>
    <w:p>
      <w:r>
        <w:t>• Hak Veto Dokter Verifikator: Dokter Verifikator BPJS memegang kendali penuh (veto power) untuk mengambil keputusan akhir (Setujui, Downgrade Severity, atau Tolak Klaim) berdasarkan telaah draf Berita Acara yang disajikan AI.</w:t>
      </w:r>
    </w:p>
    <w:p>
      <w:r>
        <w:t>• Transparansi Medikolegal (Explainable AI): Setiap temuan anomali disertai alasan transparan (TreeSHAP Reason Codes) dan sitasi pasal PNPK, memastikan keputusan audit dapat dipertanggungjawabkan secara hukum dan etika kedokteran.</w:t>
      </w:r>
    </w:p>
    <w:p>
      <w:pPr>
        <w:pStyle w:val="Heading2"/>
      </w:pPr>
      <w:r>
        <w:t>D. Matriks Penilaian &amp; Mitigasi Risiko Kritis</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Kategori Risiko</w:t>
            </w:r>
          </w:p>
        </w:tc>
        <w:tc>
          <w:tcPr>
            <w:tcW w:type="dxa" w:w="2160"/>
          </w:tcPr>
          <w:p>
            <w:r>
              <w:t>Deskripsi Dampak</w:t>
            </w:r>
          </w:p>
        </w:tc>
        <w:tc>
          <w:tcPr>
            <w:tcW w:type="dxa" w:w="2160"/>
          </w:tcPr>
          <w:p>
            <w:r>
              <w:t>Tingkat Risiko</w:t>
            </w:r>
          </w:p>
        </w:tc>
        <w:tc>
          <w:tcPr>
            <w:tcW w:type="dxa" w:w="2160"/>
          </w:tcPr>
          <w:p>
            <w:r>
              <w:t>Strategi Mitigasi Teruji</w:t>
            </w:r>
          </w:p>
        </w:tc>
      </w:tr>
      <w:tr>
        <w:tc>
          <w:tcPr>
            <w:tcW w:type="dxa" w:w="2160"/>
          </w:tcPr>
          <w:p>
            <w:r>
              <w:t>Serangan Siber Linguistik (Prompt Injection / Jailbreak)</w:t>
            </w:r>
          </w:p>
        </w:tc>
        <w:tc>
          <w:tcPr>
            <w:tcW w:type="dxa" w:w="2160"/>
          </w:tcPr>
          <w:p>
            <w:r>
              <w:t>Faskes menyisipkan teks instruksi manipulatif pada catatan medis untuk memperdaya LLM agar klaim disetujui.</w:t>
            </w:r>
          </w:p>
        </w:tc>
        <w:tc>
          <w:tcPr>
            <w:tcW w:type="dxa" w:w="2160"/>
          </w:tcPr>
          <w:p>
            <w:r>
              <w:t>Tinggi (High)</w:t>
            </w:r>
          </w:p>
        </w:tc>
        <w:tc>
          <w:tcPr>
            <w:tcW w:type="dxa" w:w="2160"/>
          </w:tcPr>
          <w:p>
            <w:r>
              <w:t>Implementasi Security Guardrail Node berbasis Regex di tahap awal untuk memblokir teks eksploitatif sebelum menyentuh LLM.</w:t>
            </w:r>
          </w:p>
        </w:tc>
      </w:tr>
      <w:tr>
        <w:tc>
          <w:tcPr>
            <w:tcW w:type="dxa" w:w="2160"/>
          </w:tcPr>
          <w:p>
            <w:r>
              <w:t>Halusinasi Medis LLM (Fictitious Guidelines)</w:t>
            </w:r>
          </w:p>
        </w:tc>
        <w:tc>
          <w:tcPr>
            <w:tcW w:type="dxa" w:w="2160"/>
          </w:tcPr>
          <w:p>
            <w:r>
              <w:t>AI mengarang aturan klinis atau kriteria diagnosis fiktif yang merugikan faskes atau pasien.</w:t>
            </w:r>
          </w:p>
        </w:tc>
        <w:tc>
          <w:tcPr>
            <w:tcW w:type="dxa" w:w="2160"/>
          </w:tcPr>
          <w:p>
            <w:r>
              <w:t>Tinggi (High)</w:t>
            </w:r>
          </w:p>
        </w:tc>
        <w:tc>
          <w:tcPr>
            <w:tcW w:type="dxa" w:w="2160"/>
          </w:tcPr>
          <w:p>
            <w:r>
              <w:t>Constrained Qdrant RAG dari dokumen PDF PNPK resmi Kemenkes RI, tervalidasi DeepEval Faithfulness 100% dan fallback deterministik.</w:t>
            </w:r>
          </w:p>
        </w:tc>
      </w:tr>
      <w:tr>
        <w:tc>
          <w:tcPr>
            <w:tcW w:type="dxa" w:w="2160"/>
          </w:tcPr>
          <w:p>
            <w:r>
              <w:t>Alarm Palsu / Salah Tuduh (False Positive Disputes)</w:t>
            </w:r>
          </w:p>
        </w:tc>
        <w:tc>
          <w:tcPr>
            <w:tcW w:type="dxa" w:w="2160"/>
          </w:tcPr>
          <w:p>
            <w:r>
              <w:t>Klaim faskes patuh dituduh fraud sehingga mengganggu arus kas dan kemitraan rumah sakit.</w:t>
            </w:r>
          </w:p>
        </w:tc>
        <w:tc>
          <w:tcPr>
            <w:tcW w:type="dxa" w:w="2160"/>
          </w:tcPr>
          <w:p>
            <w:r>
              <w:t>Sedang (Medium)</w:t>
            </w:r>
          </w:p>
        </w:tc>
        <w:tc>
          <w:tcPr>
            <w:tcW w:type="dxa" w:w="2160"/>
          </w:tcPr>
          <w:p>
            <w:r>
              <w:t>Penerapan Stratified Isolation Forest (False Positive Rate mendekati 0%, ROC-AUC 0.9996), didukung hak sanggah berkas berjenjang di TKMKB.</w:t>
            </w:r>
          </w:p>
        </w:tc>
      </w:tr>
    </w:tbl>
    <w:p>
      <w:pPr>
        <w:pStyle w:val="Heading1"/>
      </w:pPr>
      <w:r>
        <w:t>Bagian 9: Profil Tim &amp; Eksekusi</w:t>
      </w:r>
    </w:p>
    <w:p>
      <w:r>
        <w:t>Inovasi ini diusung oleh tim spesialis yang menguasai spektrum teknis secara End-to-End:</w:t>
        <w:br/>
        <w:t>- AI/ML Engineer (Fokus pada optimasi XGBoost, Vector Database Qdrant, dan orkestrasi LangGraph AI Agent).</w:t>
        <w:br/>
        <w:t>- UI/UX &amp; Frontend Engineer (Mendesain antarmuka Next.js yang familiar bagi verifikator BPJS agar proses adopsi teknologi berjalan mulus tanpa friction).</w:t>
        <w:br/>
        <w:t>- Medical Data Scientist (Pakar domain yang merumuskan aturan INA-CBG, menyusun Fraud Control Matrix, dan mengatur logika parameter medis di RAG).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