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72CE"/>
          <w:sz w:val="26"/>
        </w:rPr>
        <w:t>PROPOSAL INOVASI HEALTHKATHON BPJS KESEHATAN 2026</w:t>
        <w:br/>
      </w:r>
    </w:p>
    <w:p>
      <w:pPr>
        <w:jc w:val="center"/>
      </w:pPr>
      <w:r>
        <w:rPr>
          <w:b/>
          <w:sz w:val="44"/>
        </w:rPr>
        <w:t>GARDA-JKN</w:t>
        <w:br/>
        <w:t>Generative Agent for Risk Detection and Adjudication</w:t>
      </w:r>
    </w:p>
    <w:p>
      <w:pPr>
        <w:jc w:val="center"/>
      </w:pPr>
      <w:r>
        <w:rPr>
          <w:i/>
          <w:sz w:val="24"/>
        </w:rPr>
        <w:t>“Detect Smarter, Protect JKN: Mesin Penalaran Klinis Berbasis Agentic AI untuk Adjudikasi Klaim Pra-Pembayaran yang Cerdas, Transparan, dan Berkeadilan”</w:t>
        <w:br/>
      </w:r>
    </w:p>
    <w:tbl>
      <w:tblPr>
        <w:tblW w:type="auto" w:w="0"/>
        <w:jc w:val="center"/>
        <w:tblLook w:firstColumn="1" w:firstRow="1" w:lastColumn="0" w:lastRow="0" w:noHBand="0" w:noVBand="1" w:val="04A0"/>
      </w:tblPr>
      <w:tblGrid>
        <w:gridCol w:w="4680"/>
        <w:gridCol w:w="4680"/>
      </w:tblGrid>
      <w:tr>
        <w:tc>
          <w:tcPr>
            <w:tcW w:type="dxa" w:w="3168"/>
          </w:tcPr>
          <w:p>
            <w:r>
              <w:rPr>
                <w:b/>
              </w:rPr>
              <w:t>Kategori Utama</w:t>
            </w:r>
          </w:p>
        </w:tc>
        <w:tc>
          <w:tcPr>
            <w:tcW w:type="dxa" w:w="6192"/>
          </w:tcPr>
          <w:p>
            <w:r>
              <w:t>Efisiensi Risiko pada Fasilitas Kesehatan (FKRTL)</w:t>
            </w:r>
          </w:p>
        </w:tc>
      </w:tr>
      <w:tr>
        <w:tc>
          <w:tcPr>
            <w:tcW w:type="dxa" w:w="3168"/>
          </w:tcPr>
          <w:p>
            <w:r>
              <w:rPr>
                <w:b/>
              </w:rPr>
              <w:t>Sub-Kategori Fokus</w:t>
            </w:r>
          </w:p>
        </w:tc>
        <w:tc>
          <w:tcPr>
            <w:tcW w:type="dxa" w:w="6192"/>
          </w:tcPr>
          <w:p>
            <w:r>
              <w:t>Upcoding &amp; Unbundling, Phantom &amp; Repeat Billing, Prolonged Stay</w:t>
            </w:r>
          </w:p>
        </w:tc>
      </w:tr>
      <w:tr>
        <w:tc>
          <w:tcPr>
            <w:tcW w:type="dxa" w:w="3168"/>
          </w:tcPr>
          <w:p>
            <w:r>
              <w:rPr>
                <w:b/>
              </w:rPr>
              <w:t>Inovator / Pengembang</w:t>
            </w:r>
          </w:p>
        </w:tc>
        <w:tc>
          <w:tcPr>
            <w:tcW w:type="dxa" w:w="6192"/>
          </w:tcPr>
          <w:p>
            <w:r>
              <w:t>Wahyu Maulana Ishaq (Fullstack AI Engineer &amp; Health Informatics Specialist)</w:t>
            </w:r>
          </w:p>
        </w:tc>
      </w:tr>
      <w:tr>
        <w:tc>
          <w:tcPr>
            <w:tcW w:type="dxa" w:w="3168"/>
          </w:tcPr>
          <w:p>
            <w:r>
              <w:rPr>
                <w:b/>
              </w:rPr>
              <w:t>Afiliasi Akademik</w:t>
            </w:r>
          </w:p>
        </w:tc>
        <w:tc>
          <w:tcPr>
            <w:tcW w:type="dxa" w:w="6192"/>
          </w:tcPr>
          <w:p>
            <w:r>
              <w:t>Universitas Alma Ata, Yogyakarta (Peminatan Data Science, IPK 3.84)</w:t>
            </w:r>
          </w:p>
        </w:tc>
      </w:tr>
    </w:tbl>
    <w:p>
      <w:r>
        <w:br w:type="page"/>
      </w:r>
    </w:p>
    <w:p>
      <w:pPr>
        <w:pStyle w:val="Heading1"/>
        <w:jc w:val="center"/>
      </w:pPr>
      <w:r>
        <w:t>DAFTAR ISI</w:t>
      </w:r>
    </w:p>
    <w:tbl>
      <w:tblPr>
        <w:tblW w:type="auto" w:w="0"/>
        <w:jc w:val="center"/>
        <w:tblLook w:firstColumn="1" w:firstRow="1" w:lastColumn="0" w:lastRow="0" w:noHBand="0" w:noVBand="1" w:val="04A0"/>
      </w:tblPr>
      <w:tblGrid>
        <w:gridCol w:w="4680"/>
        <w:gridCol w:w="4680"/>
      </w:tblGrid>
      <w:tr>
        <w:tc>
          <w:tcPr>
            <w:tcW w:type="dxa" w:w="7920"/>
          </w:tcPr>
          <w:p>
            <w:r>
              <w:rPr>
                <w:b/>
              </w:rPr>
              <w:t>Struktur Proposal &amp; Judul Bab</w:t>
            </w:r>
          </w:p>
        </w:tc>
        <w:tc>
          <w:tcPr>
            <w:tcW w:type="dxa" w:w="1440"/>
          </w:tcPr>
          <w:p>
            <w:pPr>
              <w:jc w:val="right"/>
            </w:pPr>
            <w:r>
              <w:rPr>
                <w:b/>
              </w:rPr>
              <w:t>Hal</w:t>
            </w:r>
          </w:p>
        </w:tc>
      </w:tr>
      <w:tr>
        <w:tc>
          <w:tcPr>
            <w:tcW w:type="dxa" w:w="7920"/>
          </w:tcPr>
          <w:p>
            <w:pPr>
              <w:spacing w:before="0" w:after="20" w:line="240" w:lineRule="auto"/>
            </w:pPr>
            <w:r>
              <w:rPr>
                <w:b/>
                <w:sz w:val="19"/>
              </w:rPr>
              <w:t>BAGIAN 1: IDENTITAS &amp; POSITIONING</w:t>
            </w:r>
          </w:p>
        </w:tc>
        <w:tc>
          <w:tcPr>
            <w:tcW w:type="dxa" w:w="1440"/>
          </w:tcPr>
          <w:p>
            <w:pPr>
              <w:spacing w:before="0" w:after="20" w:line="240" w:lineRule="auto"/>
              <w:jc w:val="right"/>
            </w:pPr>
            <w:r>
              <w:rPr>
                <w:b/>
                <w:sz w:val="19"/>
              </w:rPr>
              <w:t>3</w:t>
            </w:r>
          </w:p>
        </w:tc>
      </w:tr>
      <w:tr>
        <w:tc>
          <w:tcPr>
            <w:tcW w:type="dxa" w:w="7920"/>
          </w:tcPr>
          <w:p>
            <w:pPr>
              <w:spacing w:before="0" w:after="20" w:line="240" w:lineRule="auto"/>
            </w:pPr>
            <w:r>
              <w:rPr>
                <w:sz w:val="19"/>
              </w:rPr>
              <w:t xml:space="preserve">  1.1 Identitas Solusi &amp; Tagline</w:t>
            </w:r>
          </w:p>
        </w:tc>
        <w:tc>
          <w:tcPr>
            <w:tcW w:type="dxa" w:w="1440"/>
          </w:tcPr>
          <w:p>
            <w:pPr>
              <w:spacing w:before="0" w:after="20" w:line="240" w:lineRule="auto"/>
              <w:jc w:val="right"/>
            </w:pPr>
            <w:r>
              <w:rPr>
                <w:sz w:val="19"/>
              </w:rPr>
              <w:t>3</w:t>
            </w:r>
          </w:p>
        </w:tc>
      </w:tr>
      <w:tr>
        <w:tc>
          <w:tcPr>
            <w:tcW w:type="dxa" w:w="7920"/>
          </w:tcPr>
          <w:p>
            <w:pPr>
              <w:spacing w:before="0" w:after="20" w:line="240" w:lineRule="auto"/>
            </w:pPr>
            <w:r>
              <w:rPr>
                <w:sz w:val="19"/>
              </w:rPr>
              <w:t xml:space="preserve">  1.2 Kategori &amp; Sub-Kategori Tantangan</w:t>
            </w:r>
          </w:p>
        </w:tc>
        <w:tc>
          <w:tcPr>
            <w:tcW w:type="dxa" w:w="1440"/>
          </w:tcPr>
          <w:p>
            <w:pPr>
              <w:spacing w:before="0" w:after="20" w:line="240" w:lineRule="auto"/>
              <w:jc w:val="right"/>
            </w:pPr>
            <w:r>
              <w:rPr>
                <w:sz w:val="19"/>
              </w:rPr>
              <w:t>3</w:t>
            </w:r>
          </w:p>
        </w:tc>
      </w:tr>
      <w:tr>
        <w:tc>
          <w:tcPr>
            <w:tcW w:type="dxa" w:w="7920"/>
          </w:tcPr>
          <w:p>
            <w:pPr>
              <w:spacing w:before="0" w:after="20" w:line="240" w:lineRule="auto"/>
            </w:pPr>
            <w:r>
              <w:rPr>
                <w:sz w:val="19"/>
              </w:rPr>
              <w:t xml:space="preserve">  1.3 Positioning Strategis &amp; Diferensiasi Unik</w:t>
            </w:r>
          </w:p>
        </w:tc>
        <w:tc>
          <w:tcPr>
            <w:tcW w:type="dxa" w:w="1440"/>
          </w:tcPr>
          <w:p>
            <w:pPr>
              <w:spacing w:before="0" w:after="20" w:line="240" w:lineRule="auto"/>
              <w:jc w:val="right"/>
            </w:pPr>
            <w:r>
              <w:rPr>
                <w:sz w:val="19"/>
              </w:rPr>
              <w:t>3</w:t>
            </w:r>
          </w:p>
        </w:tc>
      </w:tr>
      <w:tr>
        <w:tc>
          <w:tcPr>
            <w:tcW w:type="dxa" w:w="7920"/>
          </w:tcPr>
          <w:p>
            <w:pPr>
              <w:spacing w:before="0" w:after="20" w:line="240" w:lineRule="auto"/>
            </w:pPr>
            <w:r>
              <w:rPr>
                <w:sz w:val="19"/>
              </w:rPr>
              <w:t xml:space="preserve">  1.4 Profil Pengembang &amp; Kapabilitas Eksekusi (Solo Innovator)</w:t>
            </w:r>
          </w:p>
        </w:tc>
        <w:tc>
          <w:tcPr>
            <w:tcW w:type="dxa" w:w="1440"/>
          </w:tcPr>
          <w:p>
            <w:pPr>
              <w:spacing w:before="0" w:after="20" w:line="240" w:lineRule="auto"/>
              <w:jc w:val="right"/>
            </w:pPr>
            <w:r>
              <w:rPr>
                <w:sz w:val="19"/>
              </w:rPr>
              <w:t>3</w:t>
            </w:r>
          </w:p>
        </w:tc>
      </w:tr>
      <w:tr>
        <w:tc>
          <w:tcPr>
            <w:tcW w:type="dxa" w:w="7920"/>
          </w:tcPr>
          <w:p>
            <w:pPr>
              <w:spacing w:before="0" w:after="20" w:line="240" w:lineRule="auto"/>
            </w:pPr>
            <w:r>
              <w:rPr>
                <w:b/>
                <w:sz w:val="19"/>
              </w:rPr>
              <w:t>BAGIAN 2: MASALAH &amp; URGENSI</w:t>
            </w:r>
          </w:p>
        </w:tc>
        <w:tc>
          <w:tcPr>
            <w:tcW w:type="dxa" w:w="1440"/>
          </w:tcPr>
          <w:p>
            <w:pPr>
              <w:spacing w:before="0" w:after="20" w:line="240" w:lineRule="auto"/>
              <w:jc w:val="right"/>
            </w:pPr>
            <w:r>
              <w:rPr>
                <w:b/>
                <w:sz w:val="19"/>
              </w:rPr>
              <w:t>4</w:t>
            </w:r>
          </w:p>
        </w:tc>
      </w:tr>
      <w:tr>
        <w:tc>
          <w:tcPr>
            <w:tcW w:type="dxa" w:w="7920"/>
          </w:tcPr>
          <w:p>
            <w:pPr>
              <w:spacing w:before="0" w:after="20" w:line="240" w:lineRule="auto"/>
            </w:pPr>
            <w:r>
              <w:rPr>
                <w:sz w:val="19"/>
              </w:rPr>
              <w:t xml:space="preserve">  2.1 Darurat Kebocoran Dana JKN &amp; Modus Fraud Terbanyak</w:t>
            </w:r>
          </w:p>
        </w:tc>
        <w:tc>
          <w:tcPr>
            <w:tcW w:type="dxa" w:w="1440"/>
          </w:tcPr>
          <w:p>
            <w:pPr>
              <w:spacing w:before="0" w:after="20" w:line="240" w:lineRule="auto"/>
              <w:jc w:val="right"/>
            </w:pPr>
            <w:r>
              <w:rPr>
                <w:sz w:val="19"/>
              </w:rPr>
              <w:t>4</w:t>
            </w:r>
          </w:p>
        </w:tc>
      </w:tr>
      <w:tr>
        <w:tc>
          <w:tcPr>
            <w:tcW w:type="dxa" w:w="7920"/>
          </w:tcPr>
          <w:p>
            <w:pPr>
              <w:spacing w:before="0" w:after="20" w:line="240" w:lineRule="auto"/>
            </w:pPr>
            <w:r>
              <w:rPr>
                <w:sz w:val="19"/>
              </w:rPr>
              <w:t xml:space="preserve">  2.2 Analisis Data Historis &amp; Beban Kognitif Verifikator</w:t>
            </w:r>
          </w:p>
        </w:tc>
        <w:tc>
          <w:tcPr>
            <w:tcW w:type="dxa" w:w="1440"/>
          </w:tcPr>
          <w:p>
            <w:pPr>
              <w:spacing w:before="0" w:after="20" w:line="240" w:lineRule="auto"/>
              <w:jc w:val="right"/>
            </w:pPr>
            <w:r>
              <w:rPr>
                <w:sz w:val="19"/>
              </w:rPr>
              <w:t>4</w:t>
            </w:r>
          </w:p>
        </w:tc>
      </w:tr>
      <w:tr>
        <w:tc>
          <w:tcPr>
            <w:tcW w:type="dxa" w:w="7920"/>
          </w:tcPr>
          <w:p>
            <w:pPr>
              <w:spacing w:before="0" w:after="20" w:line="240" w:lineRule="auto"/>
            </w:pPr>
            <w:r>
              <w:rPr>
                <w:b/>
                <w:sz w:val="19"/>
              </w:rPr>
              <w:t>BAGIAN 3: SOLUSI, KEUNGGULAN &amp; ARSITEKTUR</w:t>
            </w:r>
          </w:p>
        </w:tc>
        <w:tc>
          <w:tcPr>
            <w:tcW w:type="dxa" w:w="1440"/>
          </w:tcPr>
          <w:p>
            <w:pPr>
              <w:spacing w:before="0" w:after="20" w:line="240" w:lineRule="auto"/>
              <w:jc w:val="right"/>
            </w:pPr>
            <w:r>
              <w:rPr>
                <w:b/>
                <w:sz w:val="19"/>
              </w:rPr>
              <w:t>5</w:t>
            </w:r>
          </w:p>
        </w:tc>
      </w:tr>
      <w:tr>
        <w:tc>
          <w:tcPr>
            <w:tcW w:type="dxa" w:w="7920"/>
          </w:tcPr>
          <w:p>
            <w:pPr>
              <w:spacing w:before="0" w:after="20" w:line="240" w:lineRule="auto"/>
            </w:pPr>
            <w:r>
              <w:rPr>
                <w:sz w:val="19"/>
              </w:rPr>
              <w:t xml:space="preserve">  3.1 Konsep Solusi: Platform Adjudikasi 3-Lapis (Tri-Layer AI System)</w:t>
            </w:r>
          </w:p>
        </w:tc>
        <w:tc>
          <w:tcPr>
            <w:tcW w:type="dxa" w:w="1440"/>
          </w:tcPr>
          <w:p>
            <w:pPr>
              <w:spacing w:before="0" w:after="20" w:line="240" w:lineRule="auto"/>
              <w:jc w:val="right"/>
            </w:pPr>
            <w:r>
              <w:rPr>
                <w:sz w:val="19"/>
              </w:rPr>
              <w:t>5</w:t>
            </w:r>
          </w:p>
        </w:tc>
      </w:tr>
      <w:tr>
        <w:tc>
          <w:tcPr>
            <w:tcW w:type="dxa" w:w="7920"/>
          </w:tcPr>
          <w:p>
            <w:pPr>
              <w:spacing w:before="0" w:after="20" w:line="240" w:lineRule="auto"/>
            </w:pPr>
            <w:r>
              <w:rPr>
                <w:sz w:val="19"/>
              </w:rPr>
              <w:t xml:space="preserve">  3.2 Alur Workflow Deterministik (LangGraph StateGraph 5 Simpul)</w:t>
            </w:r>
          </w:p>
        </w:tc>
        <w:tc>
          <w:tcPr>
            <w:tcW w:type="dxa" w:w="1440"/>
          </w:tcPr>
          <w:p>
            <w:pPr>
              <w:spacing w:before="0" w:after="20" w:line="240" w:lineRule="auto"/>
              <w:jc w:val="right"/>
            </w:pPr>
            <w:r>
              <w:rPr>
                <w:sz w:val="19"/>
              </w:rPr>
              <w:t>5</w:t>
            </w:r>
          </w:p>
        </w:tc>
      </w:tr>
      <w:tr>
        <w:tc>
          <w:tcPr>
            <w:tcW w:type="dxa" w:w="7920"/>
          </w:tcPr>
          <w:p>
            <w:pPr>
              <w:spacing w:before="0" w:after="20" w:line="240" w:lineRule="auto"/>
            </w:pPr>
            <w:r>
              <w:rPr>
                <w:sz w:val="19"/>
              </w:rPr>
              <w:t xml:space="preserve">  3.3 Keunggulan Utama Dibandingkan Solusi Eksisting (Tabel 4 Dimensi)</w:t>
            </w:r>
          </w:p>
        </w:tc>
        <w:tc>
          <w:tcPr>
            <w:tcW w:type="dxa" w:w="1440"/>
          </w:tcPr>
          <w:p>
            <w:pPr>
              <w:spacing w:before="0" w:after="20" w:line="240" w:lineRule="auto"/>
              <w:jc w:val="right"/>
            </w:pPr>
            <w:r>
              <w:rPr>
                <w:sz w:val="19"/>
              </w:rPr>
              <w:t>6</w:t>
            </w:r>
          </w:p>
        </w:tc>
      </w:tr>
      <w:tr>
        <w:tc>
          <w:tcPr>
            <w:tcW w:type="dxa" w:w="7920"/>
          </w:tcPr>
          <w:p>
            <w:pPr>
              <w:spacing w:before="0" w:after="20" w:line="240" w:lineRule="auto"/>
            </w:pPr>
            <w:r>
              <w:rPr>
                <w:sz w:val="19"/>
              </w:rPr>
              <w:t xml:space="preserve">  3.4 Mekanisme Integrasi ke Ekosistem V-Claim BPJS (Pre-Payment Middleware)</w:t>
            </w:r>
          </w:p>
        </w:tc>
        <w:tc>
          <w:tcPr>
            <w:tcW w:type="dxa" w:w="1440"/>
          </w:tcPr>
          <w:p>
            <w:pPr>
              <w:spacing w:before="0" w:after="20" w:line="240" w:lineRule="auto"/>
              <w:jc w:val="right"/>
            </w:pPr>
            <w:r>
              <w:rPr>
                <w:sz w:val="19"/>
              </w:rPr>
              <w:t>6</w:t>
            </w:r>
          </w:p>
        </w:tc>
      </w:tr>
      <w:tr>
        <w:tc>
          <w:tcPr>
            <w:tcW w:type="dxa" w:w="7920"/>
          </w:tcPr>
          <w:p>
            <w:pPr>
              <w:spacing w:before="0" w:after="20" w:line="240" w:lineRule="auto"/>
            </w:pPr>
            <w:r>
              <w:rPr>
                <w:b/>
                <w:sz w:val="19"/>
              </w:rPr>
              <w:t>BAGIAN 4: PENDEKATAN TEKNIS &amp; DATA</w:t>
            </w:r>
          </w:p>
        </w:tc>
        <w:tc>
          <w:tcPr>
            <w:tcW w:type="dxa" w:w="1440"/>
          </w:tcPr>
          <w:p>
            <w:pPr>
              <w:spacing w:before="0" w:after="20" w:line="240" w:lineRule="auto"/>
              <w:jc w:val="right"/>
            </w:pPr>
            <w:r>
              <w:rPr>
                <w:b/>
                <w:sz w:val="19"/>
              </w:rPr>
              <w:t>7</w:t>
            </w:r>
          </w:p>
        </w:tc>
      </w:tr>
      <w:tr>
        <w:tc>
          <w:tcPr>
            <w:tcW w:type="dxa" w:w="7920"/>
          </w:tcPr>
          <w:p>
            <w:pPr>
              <w:spacing w:before="0" w:after="20" w:line="240" w:lineRule="auto"/>
            </w:pPr>
            <w:r>
              <w:rPr>
                <w:sz w:val="19"/>
              </w:rPr>
              <w:t xml:space="preserve">  4.1 Karakteristik Data Empiris (The Golden Dataset 5.000 Klaim)</w:t>
            </w:r>
          </w:p>
        </w:tc>
        <w:tc>
          <w:tcPr>
            <w:tcW w:type="dxa" w:w="1440"/>
          </w:tcPr>
          <w:p>
            <w:pPr>
              <w:spacing w:before="0" w:after="20" w:line="240" w:lineRule="auto"/>
              <w:jc w:val="right"/>
            </w:pPr>
            <w:r>
              <w:rPr>
                <w:sz w:val="19"/>
              </w:rPr>
              <w:t>7</w:t>
            </w:r>
          </w:p>
        </w:tc>
      </w:tr>
      <w:tr>
        <w:tc>
          <w:tcPr>
            <w:tcW w:type="dxa" w:w="7920"/>
          </w:tcPr>
          <w:p>
            <w:pPr>
              <w:spacing w:before="0" w:after="20" w:line="240" w:lineRule="auto"/>
            </w:pPr>
            <w:r>
              <w:rPr>
                <w:sz w:val="19"/>
              </w:rPr>
              <w:t xml:space="preserve">  4.2 Pelabelan Semi-Supervised &amp; Stratified Isolation Forest</w:t>
            </w:r>
          </w:p>
        </w:tc>
        <w:tc>
          <w:tcPr>
            <w:tcW w:type="dxa" w:w="1440"/>
          </w:tcPr>
          <w:p>
            <w:pPr>
              <w:spacing w:before="0" w:after="20" w:line="240" w:lineRule="auto"/>
              <w:jc w:val="right"/>
            </w:pPr>
            <w:r>
              <w:rPr>
                <w:sz w:val="19"/>
              </w:rPr>
              <w:t>7</w:t>
            </w:r>
          </w:p>
        </w:tc>
      </w:tr>
      <w:tr>
        <w:tc>
          <w:tcPr>
            <w:tcW w:type="dxa" w:w="7920"/>
          </w:tcPr>
          <w:p>
            <w:pPr>
              <w:spacing w:before="0" w:after="20" w:line="240" w:lineRule="auto"/>
            </w:pPr>
            <w:r>
              <w:rPr>
                <w:sz w:val="19"/>
              </w:rPr>
              <w:t xml:space="preserve">  4.3 Bobot Fitur Kritis &amp; Interpretabilitas Model (Explainable AI - SHAP)</w:t>
            </w:r>
          </w:p>
        </w:tc>
        <w:tc>
          <w:tcPr>
            <w:tcW w:type="dxa" w:w="1440"/>
          </w:tcPr>
          <w:p>
            <w:pPr>
              <w:spacing w:before="0" w:after="20" w:line="240" w:lineRule="auto"/>
              <w:jc w:val="right"/>
            </w:pPr>
            <w:r>
              <w:rPr>
                <w:sz w:val="19"/>
              </w:rPr>
              <w:t>8</w:t>
            </w:r>
          </w:p>
        </w:tc>
      </w:tr>
      <w:tr>
        <w:tc>
          <w:tcPr>
            <w:tcW w:type="dxa" w:w="7920"/>
          </w:tcPr>
          <w:p>
            <w:pPr>
              <w:spacing w:before="0" w:after="20" w:line="240" w:lineRule="auto"/>
            </w:pPr>
            <w:r>
              <w:rPr>
                <w:b/>
                <w:sz w:val="19"/>
              </w:rPr>
              <w:t>BAGIAN 5: TINGKAT KEMATANGAN, PROTOTYPE &amp; BUKTI EVALUASI (MVP)</w:t>
            </w:r>
          </w:p>
        </w:tc>
        <w:tc>
          <w:tcPr>
            <w:tcW w:type="dxa" w:w="1440"/>
          </w:tcPr>
          <w:p>
            <w:pPr>
              <w:spacing w:before="0" w:after="20" w:line="240" w:lineRule="auto"/>
              <w:jc w:val="right"/>
            </w:pPr>
            <w:r>
              <w:rPr>
                <w:b/>
                <w:sz w:val="19"/>
              </w:rPr>
              <w:t>9</w:t>
            </w:r>
          </w:p>
        </w:tc>
      </w:tr>
      <w:tr>
        <w:tc>
          <w:tcPr>
            <w:tcW w:type="dxa" w:w="7920"/>
          </w:tcPr>
          <w:p>
            <w:pPr>
              <w:spacing w:before="0" w:after="20" w:line="240" w:lineRule="auto"/>
            </w:pPr>
            <w:r>
              <w:rPr>
                <w:sz w:val="19"/>
              </w:rPr>
              <w:t xml:space="preserve">  5.1 Status Kematangan Sistem (TRL 6–7 End-to-End Functional)</w:t>
            </w:r>
          </w:p>
        </w:tc>
        <w:tc>
          <w:tcPr>
            <w:tcW w:type="dxa" w:w="1440"/>
          </w:tcPr>
          <w:p>
            <w:pPr>
              <w:spacing w:before="0" w:after="20" w:line="240" w:lineRule="auto"/>
              <w:jc w:val="right"/>
            </w:pPr>
            <w:r>
              <w:rPr>
                <w:sz w:val="19"/>
              </w:rPr>
              <w:t>9</w:t>
            </w:r>
          </w:p>
        </w:tc>
      </w:tr>
      <w:tr>
        <w:tc>
          <w:tcPr>
            <w:tcW w:type="dxa" w:w="7920"/>
          </w:tcPr>
          <w:p>
            <w:pPr>
              <w:spacing w:before="0" w:after="20" w:line="240" w:lineRule="auto"/>
            </w:pPr>
            <w:r>
              <w:rPr>
                <w:sz w:val="19"/>
              </w:rPr>
              <w:t xml:space="preserve">  5.2 Bukti Kinerja Klasifikasi Machine Learning Lapis 1 (Confusion Matrix &amp; ROC)</w:t>
            </w:r>
          </w:p>
        </w:tc>
        <w:tc>
          <w:tcPr>
            <w:tcW w:type="dxa" w:w="1440"/>
          </w:tcPr>
          <w:p>
            <w:pPr>
              <w:spacing w:before="0" w:after="20" w:line="240" w:lineRule="auto"/>
              <w:jc w:val="right"/>
            </w:pPr>
            <w:r>
              <w:rPr>
                <w:sz w:val="19"/>
              </w:rPr>
              <w:t>9</w:t>
            </w:r>
          </w:p>
        </w:tc>
      </w:tr>
      <w:tr>
        <w:tc>
          <w:tcPr>
            <w:tcW w:type="dxa" w:w="7920"/>
          </w:tcPr>
          <w:p>
            <w:pPr>
              <w:spacing w:before="0" w:after="20" w:line="240" w:lineRule="auto"/>
            </w:pPr>
            <w:r>
              <w:rPr>
                <w:sz w:val="19"/>
              </w:rPr>
              <w:t xml:space="preserve">  5.3 Evaluasi Penalaran Agentic AI &amp; Anti-Halusinasi (DeepEval Score 1.00)</w:t>
            </w:r>
          </w:p>
        </w:tc>
        <w:tc>
          <w:tcPr>
            <w:tcW w:type="dxa" w:w="1440"/>
          </w:tcPr>
          <w:p>
            <w:pPr>
              <w:spacing w:before="0" w:after="20" w:line="240" w:lineRule="auto"/>
              <w:jc w:val="right"/>
            </w:pPr>
            <w:r>
              <w:rPr>
                <w:sz w:val="19"/>
              </w:rPr>
              <w:t>10</w:t>
            </w:r>
          </w:p>
        </w:tc>
      </w:tr>
      <w:tr>
        <w:tc>
          <w:tcPr>
            <w:tcW w:type="dxa" w:w="7920"/>
          </w:tcPr>
          <w:p>
            <w:pPr>
              <w:spacing w:before="0" w:after="20" w:line="240" w:lineRule="auto"/>
            </w:pPr>
            <w:r>
              <w:rPr>
                <w:sz w:val="19"/>
              </w:rPr>
              <w:t xml:space="preserve">  5.4 Bukti Integrasi Antarmuka &amp; Uji End-to-End Playwright Testing</w:t>
            </w:r>
          </w:p>
        </w:tc>
        <w:tc>
          <w:tcPr>
            <w:tcW w:type="dxa" w:w="1440"/>
          </w:tcPr>
          <w:p>
            <w:pPr>
              <w:spacing w:before="0" w:after="20" w:line="240" w:lineRule="auto"/>
              <w:jc w:val="right"/>
            </w:pPr>
            <w:r>
              <w:rPr>
                <w:sz w:val="19"/>
              </w:rPr>
              <w:t>10</w:t>
            </w:r>
          </w:p>
        </w:tc>
      </w:tr>
      <w:tr>
        <w:tc>
          <w:tcPr>
            <w:tcW w:type="dxa" w:w="7920"/>
          </w:tcPr>
          <w:p>
            <w:pPr>
              <w:spacing w:before="0" w:after="20" w:line="240" w:lineRule="auto"/>
            </w:pPr>
            <w:r>
              <w:rPr>
                <w:b/>
                <w:sz w:val="19"/>
              </w:rPr>
              <w:t>BAGIAN 6: RENCANA &amp; MODEL BISNIS (VHDIC CANVAS)</w:t>
            </w:r>
          </w:p>
        </w:tc>
        <w:tc>
          <w:tcPr>
            <w:tcW w:type="dxa" w:w="1440"/>
          </w:tcPr>
          <w:p>
            <w:pPr>
              <w:spacing w:before="0" w:after="20" w:line="240" w:lineRule="auto"/>
              <w:jc w:val="right"/>
            </w:pPr>
            <w:r>
              <w:rPr>
                <w:b/>
                <w:sz w:val="19"/>
              </w:rPr>
              <w:t>11</w:t>
            </w:r>
          </w:p>
        </w:tc>
      </w:tr>
      <w:tr>
        <w:tc>
          <w:tcPr>
            <w:tcW w:type="dxa" w:w="7920"/>
          </w:tcPr>
          <w:p>
            <w:pPr>
              <w:spacing w:before="0" w:after="20" w:line="240" w:lineRule="auto"/>
            </w:pPr>
            <w:r>
              <w:rPr>
                <w:sz w:val="19"/>
              </w:rPr>
              <w:t xml:space="preserve">  6.1 Kerangka VHDIC Canvas &amp; Keberlanjutan Sistem</w:t>
            </w:r>
          </w:p>
        </w:tc>
        <w:tc>
          <w:tcPr>
            <w:tcW w:type="dxa" w:w="1440"/>
          </w:tcPr>
          <w:p>
            <w:pPr>
              <w:spacing w:before="0" w:after="20" w:line="240" w:lineRule="auto"/>
              <w:jc w:val="right"/>
            </w:pPr>
            <w:r>
              <w:rPr>
                <w:sz w:val="19"/>
              </w:rPr>
              <w:t>11</w:t>
            </w:r>
          </w:p>
        </w:tc>
      </w:tr>
      <w:tr>
        <w:tc>
          <w:tcPr>
            <w:tcW w:type="dxa" w:w="7920"/>
          </w:tcPr>
          <w:p>
            <w:pPr>
              <w:spacing w:before="0" w:after="20" w:line="240" w:lineRule="auto"/>
            </w:pPr>
            <w:r>
              <w:rPr>
                <w:b/>
                <w:sz w:val="19"/>
              </w:rPr>
              <w:t>BAGIAN 7: DAMPAK &amp; NILAI TRANSFORMASI</w:t>
            </w:r>
          </w:p>
        </w:tc>
        <w:tc>
          <w:tcPr>
            <w:tcW w:type="dxa" w:w="1440"/>
          </w:tcPr>
          <w:p>
            <w:pPr>
              <w:spacing w:before="0" w:after="20" w:line="240" w:lineRule="auto"/>
              <w:jc w:val="right"/>
            </w:pPr>
            <w:r>
              <w:rPr>
                <w:b/>
                <w:sz w:val="19"/>
              </w:rPr>
              <w:t>12</w:t>
            </w:r>
          </w:p>
        </w:tc>
      </w:tr>
      <w:tr>
        <w:tc>
          <w:tcPr>
            <w:tcW w:type="dxa" w:w="7920"/>
          </w:tcPr>
          <w:p>
            <w:pPr>
              <w:spacing w:before="0" w:after="20" w:line="240" w:lineRule="auto"/>
            </w:pPr>
            <w:r>
              <w:rPr>
                <w:sz w:val="19"/>
              </w:rPr>
              <w:t xml:space="preserve">  7.1 Transformasi SDM Verifikator (Klerikal ke Clinical Investigator)</w:t>
            </w:r>
          </w:p>
        </w:tc>
        <w:tc>
          <w:tcPr>
            <w:tcW w:type="dxa" w:w="1440"/>
          </w:tcPr>
          <w:p>
            <w:pPr>
              <w:spacing w:before="0" w:after="20" w:line="240" w:lineRule="auto"/>
              <w:jc w:val="right"/>
            </w:pPr>
            <w:r>
              <w:rPr>
                <w:sz w:val="19"/>
              </w:rPr>
              <w:t>12</w:t>
            </w:r>
          </w:p>
        </w:tc>
      </w:tr>
      <w:tr>
        <w:tc>
          <w:tcPr>
            <w:tcW w:type="dxa" w:w="7920"/>
          </w:tcPr>
          <w:p>
            <w:pPr>
              <w:spacing w:before="0" w:after="20" w:line="240" w:lineRule="auto"/>
            </w:pPr>
            <w:r>
              <w:rPr>
                <w:sz w:val="19"/>
              </w:rPr>
              <w:t xml:space="preserve">  7.2 Akselerasi Kecepatan Operasional (&lt;10 Detik per Berkas)</w:t>
            </w:r>
          </w:p>
        </w:tc>
        <w:tc>
          <w:tcPr>
            <w:tcW w:type="dxa" w:w="1440"/>
          </w:tcPr>
          <w:p>
            <w:pPr>
              <w:spacing w:before="0" w:after="20" w:line="240" w:lineRule="auto"/>
              <w:jc w:val="right"/>
            </w:pPr>
            <w:r>
              <w:rPr>
                <w:sz w:val="19"/>
              </w:rPr>
              <w:t>12</w:t>
            </w:r>
          </w:p>
        </w:tc>
      </w:tr>
      <w:tr>
        <w:tc>
          <w:tcPr>
            <w:tcW w:type="dxa" w:w="7920"/>
          </w:tcPr>
          <w:p>
            <w:pPr>
              <w:spacing w:before="0" w:after="20" w:line="240" w:lineRule="auto"/>
            </w:pPr>
            <w:r>
              <w:rPr>
                <w:sz w:val="19"/>
              </w:rPr>
              <w:t xml:space="preserve">  7.3 Dampak Multi-Penerima Manfaat (The Tri-Benefit Ecosystem)</w:t>
            </w:r>
          </w:p>
        </w:tc>
        <w:tc>
          <w:tcPr>
            <w:tcW w:type="dxa" w:w="1440"/>
          </w:tcPr>
          <w:p>
            <w:pPr>
              <w:spacing w:before="0" w:after="20" w:line="240" w:lineRule="auto"/>
              <w:jc w:val="right"/>
            </w:pPr>
            <w:r>
              <w:rPr>
                <w:sz w:val="19"/>
              </w:rPr>
              <w:t>12</w:t>
            </w:r>
          </w:p>
        </w:tc>
      </w:tr>
      <w:tr>
        <w:tc>
          <w:tcPr>
            <w:tcW w:type="dxa" w:w="7920"/>
          </w:tcPr>
          <w:p>
            <w:pPr>
              <w:spacing w:before="0" w:after="20" w:line="240" w:lineRule="auto"/>
            </w:pPr>
            <w:r>
              <w:rPr>
                <w:sz w:val="19"/>
              </w:rPr>
              <w:t xml:space="preserve">  7.4 Matriks Komparasi Transformasi Sebelum vs Sesudah GARDA-JKN</w:t>
            </w:r>
          </w:p>
        </w:tc>
        <w:tc>
          <w:tcPr>
            <w:tcW w:type="dxa" w:w="1440"/>
          </w:tcPr>
          <w:p>
            <w:pPr>
              <w:spacing w:before="0" w:after="20" w:line="240" w:lineRule="auto"/>
              <w:jc w:val="right"/>
            </w:pPr>
            <w:r>
              <w:rPr>
                <w:sz w:val="19"/>
              </w:rPr>
              <w:t>12</w:t>
            </w:r>
          </w:p>
        </w:tc>
      </w:tr>
      <w:tr>
        <w:tc>
          <w:tcPr>
            <w:tcW w:type="dxa" w:w="7920"/>
          </w:tcPr>
          <w:p>
            <w:pPr>
              <w:spacing w:before="0" w:after="20" w:line="240" w:lineRule="auto"/>
            </w:pPr>
            <w:r>
              <w:rPr>
                <w:b/>
                <w:sz w:val="19"/>
              </w:rPr>
              <w:t>BAGIAN 8: RISIKO, PRIVASI &amp; ETIKA</w:t>
            </w:r>
          </w:p>
        </w:tc>
        <w:tc>
          <w:tcPr>
            <w:tcW w:type="dxa" w:w="1440"/>
          </w:tcPr>
          <w:p>
            <w:pPr>
              <w:spacing w:before="0" w:after="20" w:line="240" w:lineRule="auto"/>
              <w:jc w:val="right"/>
            </w:pPr>
            <w:r>
              <w:rPr>
                <w:b/>
                <w:sz w:val="19"/>
              </w:rPr>
              <w:t>13</w:t>
            </w:r>
          </w:p>
        </w:tc>
      </w:tr>
      <w:tr>
        <w:tc>
          <w:tcPr>
            <w:tcW w:type="dxa" w:w="7920"/>
          </w:tcPr>
          <w:p>
            <w:pPr>
              <w:spacing w:before="0" w:after="20" w:line="240" w:lineRule="auto"/>
            </w:pPr>
            <w:r>
              <w:rPr>
                <w:sz w:val="19"/>
              </w:rPr>
              <w:t xml:space="preserve">  8.1 Perlindungan Data Pribadi (Kepatuhan UU PDP No. 27/2022)</w:t>
            </w:r>
          </w:p>
        </w:tc>
        <w:tc>
          <w:tcPr>
            <w:tcW w:type="dxa" w:w="1440"/>
          </w:tcPr>
          <w:p>
            <w:pPr>
              <w:spacing w:before="0" w:after="20" w:line="240" w:lineRule="auto"/>
              <w:jc w:val="right"/>
            </w:pPr>
            <w:r>
              <w:rPr>
                <w:sz w:val="19"/>
              </w:rPr>
              <w:t>13</w:t>
            </w:r>
          </w:p>
        </w:tc>
      </w:tr>
      <w:tr>
        <w:tc>
          <w:tcPr>
            <w:tcW w:type="dxa" w:w="7920"/>
          </w:tcPr>
          <w:p>
            <w:pPr>
              <w:spacing w:before="0" w:after="20" w:line="240" w:lineRule="auto"/>
            </w:pPr>
            <w:r>
              <w:rPr>
                <w:sz w:val="19"/>
              </w:rPr>
              <w:t xml:space="preserve">  8.2 Mitigasi Bias Algoritma &amp; Batasan Operasional AI (14 Strata Faskes)</w:t>
            </w:r>
          </w:p>
        </w:tc>
        <w:tc>
          <w:tcPr>
            <w:tcW w:type="dxa" w:w="1440"/>
          </w:tcPr>
          <w:p>
            <w:pPr>
              <w:spacing w:before="0" w:after="20" w:line="240" w:lineRule="auto"/>
              <w:jc w:val="right"/>
            </w:pPr>
            <w:r>
              <w:rPr>
                <w:sz w:val="19"/>
              </w:rPr>
              <w:t>13</w:t>
            </w:r>
          </w:p>
        </w:tc>
      </w:tr>
      <w:tr>
        <w:tc>
          <w:tcPr>
            <w:tcW w:type="dxa" w:w="7920"/>
          </w:tcPr>
          <w:p>
            <w:pPr>
              <w:spacing w:before="0" w:after="20" w:line="240" w:lineRule="auto"/>
            </w:pPr>
            <w:r>
              <w:rPr>
                <w:sz w:val="19"/>
              </w:rPr>
              <w:t xml:space="preserve">  8.3 Peran Manusia dalam Keputusan (Human-in-the-Loop Governance)</w:t>
            </w:r>
          </w:p>
        </w:tc>
        <w:tc>
          <w:tcPr>
            <w:tcW w:type="dxa" w:w="1440"/>
          </w:tcPr>
          <w:p>
            <w:pPr>
              <w:spacing w:before="0" w:after="20" w:line="240" w:lineRule="auto"/>
              <w:jc w:val="right"/>
            </w:pPr>
            <w:r>
              <w:rPr>
                <w:sz w:val="19"/>
              </w:rPr>
              <w:t>13</w:t>
            </w:r>
          </w:p>
        </w:tc>
      </w:tr>
      <w:tr>
        <w:tc>
          <w:tcPr>
            <w:tcW w:type="dxa" w:w="7920"/>
          </w:tcPr>
          <w:p>
            <w:pPr>
              <w:spacing w:before="0" w:after="20" w:line="240" w:lineRule="auto"/>
            </w:pPr>
            <w:r>
              <w:rPr>
                <w:sz w:val="19"/>
              </w:rPr>
              <w:t xml:space="preserve">  8.4 Matriks Penilaian &amp; Mitigasi Risiko Kritis</w:t>
            </w:r>
          </w:p>
        </w:tc>
        <w:tc>
          <w:tcPr>
            <w:tcW w:type="dxa" w:w="1440"/>
          </w:tcPr>
          <w:p>
            <w:pPr>
              <w:spacing w:before="0" w:after="20" w:line="240" w:lineRule="auto"/>
              <w:jc w:val="right"/>
            </w:pPr>
            <w:r>
              <w:rPr>
                <w:sz w:val="19"/>
              </w:rPr>
              <w:t>13</w:t>
            </w:r>
          </w:p>
        </w:tc>
      </w:tr>
      <w:tr>
        <w:tc>
          <w:tcPr>
            <w:tcW w:type="dxa" w:w="7920"/>
          </w:tcPr>
          <w:p>
            <w:pPr>
              <w:spacing w:before="0" w:after="20" w:line="240" w:lineRule="auto"/>
            </w:pPr>
            <w:r>
              <w:rPr>
                <w:b/>
                <w:sz w:val="19"/>
              </w:rPr>
              <w:t>BAGIAN 9: PROFIL PENGEMBANG &amp; REKAM JEJAK EKSEKUSI</w:t>
            </w:r>
          </w:p>
        </w:tc>
        <w:tc>
          <w:tcPr>
            <w:tcW w:type="dxa" w:w="1440"/>
          </w:tcPr>
          <w:p>
            <w:pPr>
              <w:spacing w:before="0" w:after="20" w:line="240" w:lineRule="auto"/>
              <w:jc w:val="right"/>
            </w:pPr>
            <w:r>
              <w:rPr>
                <w:b/>
                <w:sz w:val="19"/>
              </w:rPr>
              <w:t>14</w:t>
            </w:r>
          </w:p>
        </w:tc>
      </w:tr>
      <w:tr>
        <w:tc>
          <w:tcPr>
            <w:tcW w:type="dxa" w:w="7920"/>
          </w:tcPr>
          <w:p>
            <w:pPr>
              <w:spacing w:before="0" w:after="20" w:line="240" w:lineRule="auto"/>
            </w:pPr>
            <w:r>
              <w:rPr>
                <w:sz w:val="19"/>
              </w:rPr>
              <w:t xml:space="preserve">  9.1 Kredensial Akademik &amp; Pengalaman AI Medis (AegisMDT)</w:t>
            </w:r>
          </w:p>
        </w:tc>
        <w:tc>
          <w:tcPr>
            <w:tcW w:type="dxa" w:w="1440"/>
          </w:tcPr>
          <w:p>
            <w:pPr>
              <w:spacing w:before="0" w:after="20" w:line="240" w:lineRule="auto"/>
              <w:jc w:val="right"/>
            </w:pPr>
            <w:r>
              <w:rPr>
                <w:sz w:val="19"/>
              </w:rPr>
              <w:t>14</w:t>
            </w:r>
          </w:p>
        </w:tc>
      </w:tr>
      <w:tr>
        <w:tc>
          <w:tcPr>
            <w:tcW w:type="dxa" w:w="7920"/>
          </w:tcPr>
          <w:p>
            <w:pPr>
              <w:spacing w:before="0" w:after="20" w:line="240" w:lineRule="auto"/>
            </w:pPr>
            <w:r>
              <w:rPr>
                <w:sz w:val="19"/>
              </w:rPr>
              <w:t xml:space="preserve">  9.2 Pelatihan Tokyo University, Uber AI RLHF, &amp; Rekognisi Global</w:t>
            </w:r>
          </w:p>
        </w:tc>
        <w:tc>
          <w:tcPr>
            <w:tcW w:type="dxa" w:w="1440"/>
          </w:tcPr>
          <w:p>
            <w:pPr>
              <w:spacing w:before="0" w:after="20" w:line="240" w:lineRule="auto"/>
              <w:jc w:val="right"/>
            </w:pPr>
            <w:r>
              <w:rPr>
                <w:sz w:val="19"/>
              </w:rPr>
              <w:t>14</w:t>
            </w:r>
          </w:p>
        </w:tc>
      </w:tr>
    </w:tbl>
    <w:p>
      <w:r>
        <w:br w:type="page"/>
      </w:r>
    </w:p>
    <w:p>
      <w:pPr>
        <w:pStyle w:val="Heading1"/>
      </w:pPr>
      <w:r>
        <w:t>Bagian 1: Identitas &amp; Positioning</w:t>
      </w:r>
    </w:p>
    <w:p>
      <w:r>
        <w:t>A. Identitas Solusi &amp; Nilai Utama</w:t>
        <w:br/>
        <w:t>• Nama Solusi: GARDA-JKN (Generative Agent for Risk Detection and Adjudication)</w:t>
        <w:br/>
        <w:t>• Tagline: Detect Smarter, Protect JKN: Mesin Penalaran Klinis Berbasis Agentic AI untuk Adjudikasi Klaim Pra-Pembayaran yang Cerdas, Transparan, dan Berkeadilan.</w:t>
        <w:br/>
        <w:t>• Nilai Utama (Core Value): Mentransformasi verifikasi klaim BPJS Kesehatan dari pengawasan klerikal pasca-bayar (post-payment) menjadi adjudikasi cerdas pra-pembayaran (pre-payment) berbasis penalaran medis berakar pada Pedoman Nasional Pelayanan Kedokteran (PNPK Kemenkes RI).</w:t>
      </w:r>
    </w:p>
    <w:p>
      <w:r>
        <w:t>B. Kategori &amp; Sub-Kategori Tantangan</w:t>
        <w:br/>
        <w:t>• Kategori Utama: Efisiensi Risiko pada Fasilitas Kesehatan (FKRTL)</w:t>
        <w:br/>
        <w:t>• Sub-Kategori Fokus:</w:t>
        <w:br/>
        <w:t xml:space="preserve">  1. Upcoding &amp; Unbundling: Manipulasi tingkat keparahan diagnosis (severity level I/II/III) dan pemecahan episode klaim INA-CBG yang tidak sesuai indikasi klinis.</w:t>
        <w:br/>
        <w:t xml:space="preserve">  2. Phantom &amp; Repeat Billing: Pengajuan klaim fiktif atas tindakan/sarana yang tidak pernah diberikan, serta penagihan berulang pada episode rawat yang sama.</w:t>
        <w:br/>
        <w:t xml:space="preserve">  3. Prolonged Stay &amp; Readmisi Berulang: Perpanjangan lama rawat inap (LOS) tanpa justifikasi medis serta pemulangan dini yang disengaja untuk memicu klaim berulang.</w:t>
      </w:r>
    </w:p>
    <w:p>
      <w:r>
        <w:t>C. Positioning Strategis &amp; Diferensiasi Unik</w:t>
        <w:br/>
        <w:t>1. Bukan Sekadar Heuristik Statis (Rule-Based Biasa): Sistem aturan statis konvensional sangat kaku dan rentan dimanipulasi (gaming the system). GARDA-JKN menggabungkan Machine Learning adaptif (Stratified Isolation Forest &amp; XGBoost) yang mampu membedah anomali non-linear lintas 14 strata faskes tanpa bias ukuran rumah sakit.</w:t>
        <w:br/>
        <w:t>2. Bukan Black-Box AI yang Memicu Friksi: Mayoritas model AI ditolak rumah sakit karena hanya mengeluarkan skor probabilitas tanpa alasan klinis yang jelas. GARDA-JKN menghadirkan Clinical Explainable AI berbasis Agentic RAG yang memvalidasi setiap temuan dengan kutipan pasal, tabel, dan halaman resmi dari PNPK Kemenkes RI.</w:t>
        <w:br/>
        <w:t>3. Arsitektur Pra-Pembayaran Nir-Friksi (Zero-Disruption Middleware): Beroperasi sebagai middleware cerdas yang terhubung langsung ke Web Service V-Claim BPJS Kesehatan (&lt;10 detik per klaim) tanpa merombak sistem eksisting, sekaligus menjamin kendali hukum tetap berada di tangan Dokter Verifikator (Human-in-the-Loop).</w:t>
      </w:r>
    </w:p>
    <w:p>
      <w:r>
        <w:t>D. Profil Pengembang &amp; Kapabilitas Eksekusi (Solo Innovator)</w:t>
        <w:br/>
        <w:t>Sistem GARDA-JKN dirancang, dibangun, dan diuji secara mandiri oleh Inovator Tunggal: Wahyu Maulana Ishaq (Solo Developer &amp; Fullstack AI Architect), mahasiswa S1 Informatika Universitas Alma Ata (Data Science, IPK 3.84/4.00) dengan keahlian yang mencakup seluruh spektrum sistem:</w:t>
        <w:br/>
        <w:t>• Rekayasa AI &amp; Data Science: Pemodelan Stratified Isolation Forest (14 strata) dan XGBoost terlatih pada 5.000 data historis klaim, Vector DB Qdrant, serta orkestrasi multi-agen LangGraph.</w:t>
        <w:br/>
        <w:t>• Arsitektur Perangkat Lunak &amp; Integrasi: Microservice FastAPI, integrasi bridging API V-Claim BPJS, dashboard Next.js/React, dan pengujian otomatis Playwright E2E.</w:t>
        <w:br/>
        <w:t>• Domain Klinis &amp; Regulasi: Pemodelan aturan INA-CBG, kurasi ontologi PNPK Kemenkes RI, serta evaluasi anti-halusinasi medis DeepEval (skor sempurna 1.00).</w:t>
      </w:r>
    </w:p>
    <w:p>
      <w:r>
        <w:br w:type="page"/>
      </w:r>
    </w:p>
    <w:p>
      <w:pPr>
        <w:pStyle w:val="Heading1"/>
      </w:pPr>
      <w:r>
        <w:t>Bagian 2: Masalah &amp; Urgensi</w:t>
      </w:r>
    </w:p>
    <w:p>
      <w:r>
        <w:t>A. Darurat Kebocoran Dana JKN &amp; Modus Fraud Terbanyak</w:t>
        <w:br/>
        <w:t>Keberlanjutan finansial Program Jaminan Kesehatan Nasional (JKN) terus dihadapkan pada ancaman krisis akibat praktik kecurangan (fraud) medis yang sistematis di Fasilitas Kesehatan Rujukan Tingkat Lanjut (FKRTL). Modus paling dominan adalah Phantom Billing (klaim fiktif) dan Upcoding (manipulasi severity level INA-CBG agar tarif melambung):</w:t>
        <w:br/>
        <w:t>• Estimasi Kerugian Finansial: Tinjauan Komisi Pemberantasan Korupsi (KPK) dan Kementerian Kesehatan (2024) mengungkap kebocoran dana akibat fraud mencapai 5%–10% dari total beban jaminan kesehatan, atau setara dengan Rp10 hingga Rp20 Triliun per tahun. Pada operasi penindakan Juli 2024, KPK mengonfirmasi fraud phantom billing senilai Rp35 Miliar hanya dari 3 rumah sakit sebagai fenomena puncak gunung es.</w:t>
        <w:br/>
        <w:t>• Konfirmasi Manajemen BPJS (2026): Direktur Utama BPJS Kesehatan menegaskan bahwa potensi inefisiensi dan klaim anomali di faskes masih menyentuh angka triliunan rupiah per tahun jika tidak ditangani dengan teknologi presisi.</w:t>
      </w:r>
    </w:p>
    <w:p>
      <w:r>
        <w:t>B. Beban Kognitif Ekstrem Verifikator (The Cognitive Fatigue Bottleneck)</w:t>
        <w:br/>
        <w:t>Pada tahun 2024–2026, pemanfaatan layanan JKN menembus lebih dari 600 juta kunjungan. Sebanyak 1.500–2.000 dokter verifikator BPJS Kesehatan harus memverifikasi 8 hingga 12 juta klaim FKRTL setiap bulan. Dengan rasio 3.500–5.000 berkas per verifikator dan batas SLA pencairan 15 hari, verifikasi manual berbasis berkas fisik/PDF mustahil meneliti 100% rekam medis dan rentan memicu human error.</w:t>
      </w:r>
    </w:p>
    <w:p>
      <w:pPr>
        <w:jc w:val="center"/>
      </w:pPr>
      <w:r>
        <w:drawing>
          <wp:inline xmlns:a="http://schemas.openxmlformats.org/drawingml/2006/main" xmlns:pic="http://schemas.openxmlformats.org/drawingml/2006/picture">
            <wp:extent cx="4114800" cy="2468880"/>
            <wp:docPr id="1" name="Picture 1"/>
            <wp:cNvGraphicFramePr>
              <a:graphicFrameLocks noChangeAspect="1"/>
            </wp:cNvGraphicFramePr>
            <a:graphic>
              <a:graphicData uri="http://schemas.openxmlformats.org/drawingml/2006/picture">
                <pic:pic>
                  <pic:nvPicPr>
                    <pic:cNvPr id="0" name="plot_eda_distribution.png"/>
                    <pic:cNvPicPr/>
                  </pic:nvPicPr>
                  <pic:blipFill>
                    <a:blip r:embed="rId9"/>
                    <a:stretch>
                      <a:fillRect/>
                    </a:stretch>
                  </pic:blipFill>
                  <pic:spPr>
                    <a:xfrm>
                      <a:off x="0" y="0"/>
                      <a:ext cx="4114800" cy="2468880"/>
                    </a:xfrm>
                    <a:prstGeom prst="rect"/>
                  </pic:spPr>
                </pic:pic>
              </a:graphicData>
            </a:graphic>
          </wp:inline>
        </w:drawing>
      </w:r>
    </w:p>
    <w:p>
      <w:pPr>
        <w:jc w:val="center"/>
      </w:pPr>
      <w:r>
        <w:rPr>
          <w:i/>
          <w:sz w:val="18"/>
        </w:rPr>
        <w:t>Gambar 1. Bukti Anomali Distribusi Biaya Klaim dan Severity Level pada Data Historis JKN</w:t>
      </w:r>
    </w:p>
    <w:p>
      <w:r>
        <w:br w:type="page"/>
      </w:r>
    </w:p>
    <w:p>
      <w:pPr>
        <w:pStyle w:val="Heading1"/>
      </w:pPr>
      <w:r>
        <w:t>Bagian 3: Solusi, Keunggulan &amp; Arsitektur</w:t>
      </w:r>
    </w:p>
    <w:p>
      <w:pPr>
        <w:spacing w:after="80"/>
      </w:pPr>
      <w:r>
        <w:rPr>
          <w:b/>
        </w:rPr>
        <w:t xml:space="preserve">Definisi Solusi: </w:t>
      </w:r>
      <w:r>
        <w:t>GARDA-JKN adalah platform adjudikasi klaim pra-pembayaran (pre-payment) berbasis Tri-Layer AI yang menuntaskan verifikasi anomali finansial, kepatuhan regulasi medis, dan justifikasi hukum dalam &lt;10 detik per klaim, dengan dokter verifikator sebagai penentu akhir (Human-in-the-Loop).</w:t>
      </w:r>
    </w:p>
    <w:p>
      <w:pPr>
        <w:pStyle w:val="Heading2"/>
      </w:pPr>
      <w:r>
        <w:t>3.1 Arsitektur 3-Lapis (Tri-Layer AI System)</w:t>
      </w:r>
    </w:p>
    <w:p>
      <w:pPr>
        <w:spacing w:after="80"/>
      </w:pPr>
      <w:r>
        <w:t>• Lapis 1 (XGBoost + SHAP — High-Speed Financial Screening): Menapis anomali biaya dan pola non-linear dalam milidetik. Menggunakan Stratified Isolation Forest (14 strata RS) sehingga nir-bias terhadap RS Kelas C/D/3T. Algoritma SHAP menerjemahkan skor angka menjadi Auditor Reason Codes transparan.</w:t>
        <w:br/>
        <w:t>• Lapis 2 (Qdrant RAG + PyMuPDF4LLM — Medical Vector Search): Mencocokkan kepatuhan tindakan medis terhadap Pedoman Nasional Pelayanan Kedokteran (PNPK Kemenkes RI). PyMuPDF4LLM mengekstrak tabel bertingkat (dosis obat) dan diagram alur klinis ke format Markdown murni tanpa merusak konteks relasional medis.</w:t>
        <w:br/>
        <w:t>• Lapis 3 (LLM LangGraph Arbiter — Clinical Reasoning): The Clinical Arbiter (DeepSeek-Chat) menyintesis temuan finansial Lapis 1 dan bukti teks pedoman PNPK Lapis 2 berbasis Fraud Control Matrix guna menerbitkan draf rekomendasi Berita Acara definitif.</w:t>
      </w:r>
    </w:p>
    <w:p>
      <w:pPr>
        <w:pStyle w:val="Heading2"/>
      </w:pPr>
      <w:r>
        <w:t>3.2 Alur Workflow Deterministik (LangGraph StateGraph 5 Simpul)</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5184"/>
            <w:tcMar>
              <w:top w:w="30" w:type="dxa"/>
              <w:bottom w:w="30" w:type="dxa"/>
              <w:left w:w="30" w:type="dxa"/>
              <w:right w:w="60" w:type="dxa"/>
            </w:tcMar>
          </w:tcPr>
          <w:p>
            <w:pPr>
              <w:spacing w:line="252" w:lineRule="auto" w:after="20"/>
            </w:pPr>
            <w:r>
              <w:rPr>
                <w:sz w:val="17"/>
              </w:rPr>
              <w:t>1. Intake &amp; Security Node: PII Masking sensor identitas pasien (Nama/NIK, UU PDP No. 27/2022) &amp; pemindaian prompt injection / jailbreak pada resume medis.</w:t>
              <w:br/>
              <w:br/>
              <w:t>2. Risk Scoring Node: Lapis 1 mengevaluasi skor anomali finansial secara instan terhadap klaster faskes setara.</w:t>
              <w:br/>
              <w:br/>
              <w:t>3. Smart Handoff Router: Inlier langsung ke Auto-Approve (&lt;100ms); Outlier diarahkan ke RAG medis Lapis 2.</w:t>
              <w:br/>
              <w:br/>
              <w:t>4. Clinical Arbiter Node: LLM menyusun rekomendasi putusan (Approve, Downgrade Tarif, Escalate) disertai sitasi pasal PNPK.</w:t>
              <w:br/>
              <w:br/>
              <w:t>5. Human-in-the-Loop Node: Berkas ambigu (ESCALATED) didorong ke dasbor verifikator untuk putusan hukum akhir.</w:t>
            </w:r>
          </w:p>
        </w:tc>
        <w:tc>
          <w:tcPr>
            <w:tcW w:type="dxa" w:w="4176"/>
            <w:tcMar>
              <w:top w:w="30" w:type="dxa"/>
              <w:bottom w:w="30" w:type="dxa"/>
              <w:left w:w="60" w:type="dxa"/>
              <w:right w:w="30" w:type="dxa"/>
            </w:tcMar>
          </w:tcPr>
          <w:p>
            <w:pPr>
              <w:spacing w:after="40"/>
              <w:jc w:val="center"/>
            </w:pPr>
            <w:r>
              <w:drawing>
                <wp:inline xmlns:a="http://schemas.openxmlformats.org/drawingml/2006/main" xmlns:pic="http://schemas.openxmlformats.org/drawingml/2006/picture">
                  <wp:extent cx="2468880" cy="2948940"/>
                  <wp:docPr id="2" name="Picture 2"/>
                  <wp:cNvGraphicFramePr>
                    <a:graphicFrameLocks noChangeAspect="1"/>
                  </wp:cNvGraphicFramePr>
                  <a:graphic>
                    <a:graphicData uri="http://schemas.openxmlformats.org/drawingml/2006/picture">
                      <pic:pic>
                        <pic:nvPicPr>
                          <pic:cNvPr id="0" name="plot_workflow_system.png"/>
                          <pic:cNvPicPr/>
                        </pic:nvPicPr>
                        <pic:blipFill>
                          <a:blip r:embed="rId10"/>
                          <a:stretch>
                            <a:fillRect/>
                          </a:stretch>
                        </pic:blipFill>
                        <pic:spPr>
                          <a:xfrm>
                            <a:off x="0" y="0"/>
                            <a:ext cx="2468880" cy="2948940"/>
                          </a:xfrm>
                          <a:prstGeom prst="rect"/>
                        </pic:spPr>
                      </pic:pic>
                    </a:graphicData>
                  </a:graphic>
                </wp:inline>
              </w:drawing>
            </w:r>
          </w:p>
          <w:p>
            <w:pPr>
              <w:spacing w:before="40"/>
              <w:jc w:val="center"/>
            </w:pPr>
            <w:r>
              <w:rPr>
                <w:i/>
                <w:sz w:val="16"/>
              </w:rPr>
              <w:t>Gambar 2. Alur 5 Simpul LangGraph StateGraph</w:t>
            </w:r>
          </w:p>
        </w:tc>
      </w:tr>
    </w:tbl>
    <w:p>
      <w:r>
        <w:br w:type="page"/>
      </w:r>
    </w:p>
    <w:p>
      <w:pPr>
        <w:pStyle w:val="Heading2"/>
      </w:pPr>
      <w:r>
        <w:t>3.3 Keunggulan Utama Dibandingkan Solusi Eksisting (Tabel Komparasi 4 Dimensi)</w:t>
      </w:r>
    </w:p>
    <w:p>
      <w:pPr>
        <w:spacing w:after="80"/>
      </w:pPr>
      <w:r>
        <w:t>Keunggulan kompetitif GARDA-JKN dibandingkan sistem verifikasi konvensional maupun sistem AI standar berakar pada 4 pilar pembeda yang dapat dievaluasi dalam 30 detik:</w:t>
      </w:r>
    </w:p>
    <w:tbl>
      <w:tblPr>
        <w:tblStyle w:val="LightShading-Accent1"/>
        <w:tblW w:type="auto" w:w="0"/>
        <w:jc w:val="center"/>
        <w:tblLook w:firstColumn="1" w:firstRow="1" w:lastColumn="0" w:lastRow="0" w:noHBand="0" w:noVBand="1" w:val="04A0"/>
      </w:tblPr>
      <w:tblGrid>
        <w:gridCol w:w="3120"/>
        <w:gridCol w:w="3120"/>
        <w:gridCol w:w="3120"/>
      </w:tblGrid>
      <w:tr>
        <w:tc>
          <w:tcPr>
            <w:tcW w:type="dxa" w:w="2592"/>
          </w:tcPr>
          <w:p>
            <w:r>
              <w:rPr>
                <w:b/>
              </w:rPr>
              <w:t>Dimensi Evaluasi</w:t>
            </w:r>
          </w:p>
        </w:tc>
        <w:tc>
          <w:tcPr>
            <w:tcW w:type="dxa" w:w="3312"/>
          </w:tcPr>
          <w:p>
            <w:r>
              <w:rPr>
                <w:b/>
              </w:rPr>
              <w:t>Sistem Konvensional / AI Biasa</w:t>
            </w:r>
          </w:p>
        </w:tc>
        <w:tc>
          <w:tcPr>
            <w:tcW w:type="dxa" w:w="3456"/>
          </w:tcPr>
          <w:p>
            <w:r>
              <w:rPr>
                <w:b/>
              </w:rPr>
              <w:t>GARDA-JKN (Inovasi Kami)</w:t>
            </w:r>
          </w:p>
        </w:tc>
      </w:tr>
      <w:tr>
        <w:tc>
          <w:tcPr>
            <w:tcW w:type="dxa" w:w="2592"/>
            <w:tcMar>
              <w:top w:w="30" w:type="dxa"/>
              <w:bottom w:w="30" w:type="dxa"/>
              <w:left w:w="50" w:type="dxa"/>
              <w:right w:w="50" w:type="dxa"/>
            </w:tcMar>
          </w:tcPr>
          <w:p>
            <w:pPr>
              <w:spacing w:before="40" w:after="40" w:line="252" w:lineRule="auto"/>
            </w:pPr>
            <w:r>
              <w:rPr>
                <w:b/>
                <w:sz w:val="17"/>
              </w:rPr>
              <w:t>Transparansi Keputusan</w:t>
            </w:r>
          </w:p>
        </w:tc>
        <w:tc>
          <w:tcPr>
            <w:tcW w:type="dxa" w:w="3312"/>
            <w:tcMar>
              <w:top w:w="30" w:type="dxa"/>
              <w:bottom w:w="30" w:type="dxa"/>
              <w:left w:w="50" w:type="dxa"/>
              <w:right w:w="50" w:type="dxa"/>
            </w:tcMar>
          </w:tcPr>
          <w:p>
            <w:pPr>
              <w:spacing w:before="40" w:after="40" w:line="252" w:lineRule="auto"/>
            </w:pPr>
            <w:r>
              <w:rPr>
                <w:sz w:val="17"/>
              </w:rPr>
              <w:t>Skor risiko "Black-box" probabilitas tanpa alasan klinis.</w:t>
            </w:r>
          </w:p>
        </w:tc>
        <w:tc>
          <w:tcPr>
            <w:tcW w:type="dxa" w:w="3456"/>
            <w:tcMar>
              <w:top w:w="30" w:type="dxa"/>
              <w:bottom w:w="30" w:type="dxa"/>
              <w:left w:w="50" w:type="dxa"/>
              <w:right w:w="50" w:type="dxa"/>
            </w:tcMar>
          </w:tcPr>
          <w:p>
            <w:pPr>
              <w:spacing w:before="40" w:after="40" w:line="252" w:lineRule="auto"/>
            </w:pPr>
            <w:r>
              <w:rPr>
                <w:sz w:val="17"/>
              </w:rPr>
              <w:t>Explainable AI: SHAP Reason Codes + Sitasi Pasal &amp; Tabel PNPK Kemenkes.</w:t>
            </w:r>
          </w:p>
        </w:tc>
      </w:tr>
      <w:tr>
        <w:tc>
          <w:tcPr>
            <w:tcW w:type="dxa" w:w="2592"/>
            <w:tcMar>
              <w:top w:w="30" w:type="dxa"/>
              <w:bottom w:w="30" w:type="dxa"/>
              <w:left w:w="50" w:type="dxa"/>
              <w:right w:w="50" w:type="dxa"/>
            </w:tcMar>
          </w:tcPr>
          <w:p>
            <w:pPr>
              <w:spacing w:before="40" w:after="40" w:line="252" w:lineRule="auto"/>
            </w:pPr>
            <w:r>
              <w:rPr>
                <w:b/>
                <w:sz w:val="17"/>
              </w:rPr>
              <w:t>Keadilan Faskes (Fairness)</w:t>
            </w:r>
          </w:p>
        </w:tc>
        <w:tc>
          <w:tcPr>
            <w:tcW w:type="dxa" w:w="3312"/>
            <w:tcMar>
              <w:top w:w="30" w:type="dxa"/>
              <w:bottom w:w="30" w:type="dxa"/>
              <w:left w:w="50" w:type="dxa"/>
              <w:right w:w="50" w:type="dxa"/>
            </w:tcMar>
          </w:tcPr>
          <w:p>
            <w:pPr>
              <w:spacing w:before="40" w:after="40" w:line="252" w:lineRule="auto"/>
            </w:pPr>
            <w:r>
              <w:rPr>
                <w:sz w:val="17"/>
              </w:rPr>
              <w:t>Bias volume memojokkan RS tipe kecil (C/D) &amp; daerah 3T.</w:t>
            </w:r>
          </w:p>
        </w:tc>
        <w:tc>
          <w:tcPr>
            <w:tcW w:type="dxa" w:w="3456"/>
            <w:tcMar>
              <w:top w:w="30" w:type="dxa"/>
              <w:bottom w:w="30" w:type="dxa"/>
              <w:left w:w="50" w:type="dxa"/>
              <w:right w:w="50" w:type="dxa"/>
            </w:tcMar>
          </w:tcPr>
          <w:p>
            <w:pPr>
              <w:spacing w:before="40" w:after="40" w:line="252" w:lineRule="auto"/>
            </w:pPr>
            <w:r>
              <w:rPr>
                <w:sz w:val="17"/>
              </w:rPr>
              <w:t>Stratified 14 Strata: Normalisasi klaster faskes setara (audit adil nir-bias).</w:t>
            </w:r>
          </w:p>
        </w:tc>
      </w:tr>
      <w:tr>
        <w:tc>
          <w:tcPr>
            <w:tcW w:type="dxa" w:w="2592"/>
            <w:tcMar>
              <w:top w:w="30" w:type="dxa"/>
              <w:bottom w:w="30" w:type="dxa"/>
              <w:left w:w="50" w:type="dxa"/>
              <w:right w:w="50" w:type="dxa"/>
            </w:tcMar>
          </w:tcPr>
          <w:p>
            <w:pPr>
              <w:spacing w:before="40" w:after="40" w:line="252" w:lineRule="auto"/>
            </w:pPr>
            <w:r>
              <w:rPr>
                <w:b/>
                <w:sz w:val="17"/>
              </w:rPr>
              <w:t>Kecepatan Operasional</w:t>
            </w:r>
          </w:p>
        </w:tc>
        <w:tc>
          <w:tcPr>
            <w:tcW w:type="dxa" w:w="3312"/>
            <w:tcMar>
              <w:top w:w="30" w:type="dxa"/>
              <w:bottom w:w="30" w:type="dxa"/>
              <w:left w:w="50" w:type="dxa"/>
              <w:right w:w="50" w:type="dxa"/>
            </w:tcMar>
          </w:tcPr>
          <w:p>
            <w:pPr>
              <w:spacing w:before="40" w:after="40" w:line="252" w:lineRule="auto"/>
            </w:pPr>
            <w:r>
              <w:rPr>
                <w:sz w:val="17"/>
              </w:rPr>
              <w:t>Audit manual lambat (15–25 menit per berkas rawat inap).</w:t>
            </w:r>
          </w:p>
        </w:tc>
        <w:tc>
          <w:tcPr>
            <w:tcW w:type="dxa" w:w="3456"/>
            <w:tcMar>
              <w:top w:w="30" w:type="dxa"/>
              <w:bottom w:w="30" w:type="dxa"/>
              <w:left w:w="50" w:type="dxa"/>
              <w:right w:w="50" w:type="dxa"/>
            </w:tcMar>
          </w:tcPr>
          <w:p>
            <w:pPr>
              <w:spacing w:before="40" w:after="40" w:line="252" w:lineRule="auto"/>
            </w:pPr>
            <w:r>
              <w:rPr>
                <w:sz w:val="17"/>
              </w:rPr>
              <w:t>Real-Time Pra-Bayar: &lt;10 detik per klaim (Auto-Approve bersih &lt;100ms).</w:t>
            </w:r>
          </w:p>
        </w:tc>
      </w:tr>
      <w:tr>
        <w:tc>
          <w:tcPr>
            <w:tcW w:type="dxa" w:w="2592"/>
            <w:tcMar>
              <w:top w:w="30" w:type="dxa"/>
              <w:bottom w:w="30" w:type="dxa"/>
              <w:left w:w="50" w:type="dxa"/>
              <w:right w:w="50" w:type="dxa"/>
            </w:tcMar>
          </w:tcPr>
          <w:p>
            <w:pPr>
              <w:spacing w:before="40" w:after="40" w:line="252" w:lineRule="auto"/>
            </w:pPr>
            <w:r>
              <w:rPr>
                <w:b/>
                <w:sz w:val="17"/>
              </w:rPr>
              <w:t>Kedaulatan Keputusan</w:t>
            </w:r>
          </w:p>
        </w:tc>
        <w:tc>
          <w:tcPr>
            <w:tcW w:type="dxa" w:w="3312"/>
            <w:tcMar>
              <w:top w:w="30" w:type="dxa"/>
              <w:bottom w:w="30" w:type="dxa"/>
              <w:left w:w="50" w:type="dxa"/>
              <w:right w:w="50" w:type="dxa"/>
            </w:tcMar>
          </w:tcPr>
          <w:p>
            <w:pPr>
              <w:spacing w:before="40" w:after="40" w:line="252" w:lineRule="auto"/>
            </w:pPr>
            <w:r>
              <w:rPr>
                <w:sz w:val="17"/>
              </w:rPr>
              <w:t>Otonomi buta AI berisiko penolakan &amp; friksi hukum RS.</w:t>
            </w:r>
          </w:p>
        </w:tc>
        <w:tc>
          <w:tcPr>
            <w:tcW w:type="dxa" w:w="3456"/>
            <w:tcMar>
              <w:top w:w="30" w:type="dxa"/>
              <w:bottom w:w="30" w:type="dxa"/>
              <w:left w:w="50" w:type="dxa"/>
              <w:right w:w="50" w:type="dxa"/>
            </w:tcMar>
          </w:tcPr>
          <w:p>
            <w:pPr>
              <w:spacing w:before="40" w:after="40" w:line="252" w:lineRule="auto"/>
            </w:pPr>
            <w:r>
              <w:rPr>
                <w:sz w:val="17"/>
              </w:rPr>
              <w:t>Human-in-the-Loop: Dokter Verifikator pemegang hak veto putusan akhir.</w:t>
            </w:r>
          </w:p>
        </w:tc>
      </w:tr>
    </w:tbl>
    <w:p>
      <w:pPr>
        <w:pStyle w:val="Heading2"/>
      </w:pPr>
      <w:r>
        <w:t>3.4 Mekanisme Integrasi ke Ekosistem V-Claim BPJS (Pre-Payment Middleware)</w:t>
      </w:r>
    </w:p>
    <w:p>
      <w:pPr>
        <w:spacing w:after="80"/>
      </w:pPr>
      <w:r>
        <w:t>GARDA-JKN dirancang mengadopsi prinsip Zero-Disruption Integration, beroperasi sebagai Intelligent Pre-Payment Middleware melalui 3 pilar teknis:</w:t>
        <w:br/>
        <w:t>1. Web Service Bridging V-Claim (API Interceptor): Beroperasi sebagai middleware pra-pembayaran via RESTful API Bridging resmi BPJS (autentikasi HMAC-SHA256 &amp; enkripsi AES-256). Mencegat klaim saat SIMRS menekan tombol "Kirim Klaim"; klaim wajar lolos instan (&lt;100ms) untuk auto-approval tanpa merombak infrastruktur faskes.</w:t>
        <w:br/>
        <w:t>2. Embedded AI Review Panel di Antarmuka Verifikator: Integrasi Micro-Frontend/Webhook memunculkan panel rekomendasi AI langsung di dalam dasbor V-Claim verifikator eksisting. Verifikator menerima transparansi skor SHAP, kutipan pasal PNPK dari Qdrant RAG, dan tombol tindakan hukum satu klik (Setujui / Downgrade / Tolak).</w:t>
        <w:br/>
        <w:t>3. Interoperabilitas Data Klinis SatuSehat (HL7 FHIR): Menarik bukti klinis digital terverifikasi (hasil laboratorium kreatinin/troponin, rekam EKG) melalui platform SatuSehat Kemenkes RI (resource Observation dan DiagnosticReport) guna membuktikan keabsahan klaim fiktif secara objektif.</w:t>
      </w:r>
    </w:p>
    <w:p>
      <w:r>
        <w:br w:type="page"/>
      </w:r>
    </w:p>
    <w:p>
      <w:pPr>
        <w:pStyle w:val="Heading1"/>
      </w:pPr>
      <w:r>
        <w:t>Bagian 4: Pendekatan Teknis &amp; Data</w:t>
      </w:r>
    </w:p>
    <w:p>
      <w:pPr>
        <w:pStyle w:val="Heading2"/>
      </w:pPr>
      <w:r>
        <w:t>4.1 Sumber &amp; Karakteristik Data (The Golden Dataset)</w:t>
      </w:r>
    </w:p>
    <w:p>
      <w:r>
        <w:t>Dalam membangun fondasi analitik yang kokoh, GARDA-JKN mengintegrasikan data operasional resmi BPJS Kesehatan yang mencakup aspek administratif, finansial, dan klinis:</w:t>
        <w:br/>
        <w:t>• Sumber Data Empiris: Menggabungkan data kunjungan FKRTL (202403_fkrtl.dta) untuk variabel biaya dan Length of Stay, dengan data diagnosis sekunder (202405_diagnosissekunder.dta) berbasis nomor kunjungan (FKL02) guna memvalidasi komorbiditas penyerta tingkat keparahan (Severity Level).</w:t>
        <w:br/>
        <w:t>• Strategi Stratified Sampling (5.000 Klaim): Dari total populasi ~4 juta baris klaim, kami mengekstrak 5.000 sampel representatif (The Golden Dataset) yang merepresentasikan proporsi seimbang Rumah Sakit Kelas A, B, C, dan D serta menghindari jebakan extreme class imbalance (bias terhadap klaim normal).</w:t>
      </w:r>
    </w:p>
    <w:p>
      <w:pPr>
        <w:pStyle w:val="Heading2"/>
      </w:pPr>
      <w:r>
        <w:t>4.2 Metode Pelabelan AI (Semi-Supervised Learning) &amp; Validasi Outlier</w:t>
      </w:r>
    </w:p>
    <w:p>
      <w:r>
        <w:t>Tantangan fundamental klaim BPJS Kesehatan adalah ketiadaan label biner (ground-truth fraud) pada data mentah. Untuk memecahkan kendala ini secara objektif tanpa pelabelan manual subjektif, GARDA-JKN mengadopsi paradigma Semi-Supervised Learning dengan mengimplementasikan Stratified Isolation Forest (14 klaster faskes) yang membandingkan klaim hanya terhadap rekanan setara (peer-group comparison).</w:t>
      </w:r>
    </w:p>
    <w:p>
      <w:r>
        <w:t>Berdasarkan evaluasi analitik, sistem berhasil mengklasifikasikan 5.000 klaim mentah ke dalam dua klaster terukur:</w:t>
        <w:br/>
        <w:t>• Klaster Inlier (Klaim Normal — 93,0%): Sebanyak 4.651 klaim terkonfirmasi memiliki pola biaya dan durasi rawat yang wajar serta selaras dengan pedoman klinis.</w:t>
        <w:br/>
        <w:t>• Klaster Outlier (Indikasi Fraud — 7,0%): Sebanyak 349 klaim berhasil diisolasi sebagai anomali statistik berisiko tinggi yang menjadi target prioritas verifikasi.</w:t>
        <w:br/>
        <w:t>• Validasi Realitas Empiris: Rasio temuan anomali 7,0% ini sangat presisi dan konsisten dengan hasil audit resmi KPK dan Kemenkes RI (2024) yang menaksir kebocoran dana JKN akibat fraud berada pada rentang 5% hingga 10% per tahun.</w:t>
      </w:r>
    </w:p>
    <w:p>
      <w:r>
        <w:br w:type="page"/>
      </w:r>
    </w:p>
    <w:p>
      <w:pPr>
        <w:pStyle w:val="Heading2"/>
      </w:pPr>
      <w:r>
        <w:t>4.3 Bobot Fitur Kritis &amp; Interpretabilitas Model (Explainable AI - SHAP)</w:t>
      </w:r>
    </w:p>
    <w:p>
      <w:r>
        <w:t>Guna menjamin akuntabilitas hukum dan mencegah fenomena "Black-Box AI", model Balanced Bagging XGBoost yang dilatih di atas label anomali dilengkapi modul interpretabilitas TreeSHAP (SHapley Additive exPlanations). Pendekatan ini memungkinkan dokter verifikator memahami variabel pemicu anomali secara transparan dalam bentuk Auditor Reason Codes:</w:t>
      </w:r>
    </w:p>
    <w:p>
      <w:pPr>
        <w:jc w:val="center"/>
      </w:pPr>
      <w:r>
        <w:drawing>
          <wp:inline xmlns:a="http://schemas.openxmlformats.org/drawingml/2006/main" xmlns:pic="http://schemas.openxmlformats.org/drawingml/2006/picture">
            <wp:extent cx="4023360" cy="2414016"/>
            <wp:docPr id="3" name="Picture 3"/>
            <wp:cNvGraphicFramePr>
              <a:graphicFrameLocks noChangeAspect="1"/>
            </wp:cNvGraphicFramePr>
            <a:graphic>
              <a:graphicData uri="http://schemas.openxmlformats.org/drawingml/2006/picture">
                <pic:pic>
                  <pic:nvPicPr>
                    <pic:cNvPr id="0" name="plot_feature_importance.png"/>
                    <pic:cNvPicPr/>
                  </pic:nvPicPr>
                  <pic:blipFill>
                    <a:blip r:embed="rId11"/>
                    <a:stretch>
                      <a:fillRect/>
                    </a:stretch>
                  </pic:blipFill>
                  <pic:spPr>
                    <a:xfrm>
                      <a:off x="0" y="0"/>
                      <a:ext cx="4023360" cy="2414016"/>
                    </a:xfrm>
                    <a:prstGeom prst="rect"/>
                  </pic:spPr>
                </pic:pic>
              </a:graphicData>
            </a:graphic>
          </wp:inline>
        </w:drawing>
      </w:r>
    </w:p>
    <w:p>
      <w:pPr>
        <w:jc w:val="center"/>
      </w:pPr>
      <w:r>
        <w:rPr>
          <w:i/>
          <w:sz w:val="18"/>
        </w:rPr>
        <w:t>Gambar 3. Top 5 Fitur Penentu Prediksi Fraud Berdasarkan Analisis Nilai SHAP</w:t>
      </w:r>
    </w:p>
    <w:p>
      <w:r>
        <w:t>Berdasarkan analisis nilai SHAP, tiga pemicu utama anomali berkorelasi kuat dengan tipologi fraud di rumah sakit:</w:t>
        <w:br/>
        <w:t>1. Biaya Tagih Per Hari (Indikasi Phantom Billing): Deteksi lonjakan tagihan tanpa adanya penambahan hari rawat atau prosedur invasif yang rasional.</w:t>
        <w:br/>
        <w:t>2. Durasi Rawat Inap / LOS (Indikasi Manipulasi Hari Rawat): Hari rawat yang melampaui batas deviasi standar klinis PNPK demi menggelembungkan klaim rawat inap.</w:t>
        <w:br/>
        <w:t>3. Diskrepansi Severity Level (Indikasi Upcoding): Pengajuan klaim tingkat keparahan tinggi (Severity III) yang diajukan tanpa adanya bukti diagnosis komorbiditas sekunder yang sah.</w:t>
      </w:r>
    </w:p>
    <w:p>
      <w:r>
        <w:br w:type="page"/>
      </w:r>
    </w:p>
    <w:p>
      <w:pPr>
        <w:pStyle w:val="Heading1"/>
      </w:pPr>
      <w:r>
        <w:t>Bagian 5: Tingkat Kematangan, Prototype &amp; Bukti Evaluasi (MVP)</w:t>
      </w:r>
    </w:p>
    <w:p>
      <w:pPr>
        <w:pStyle w:val="Heading2"/>
      </w:pPr>
      <w:r>
        <w:t>A. Status Kematangan Sistem (TRL 6–7 End-to-End Functional)</w:t>
      </w:r>
    </w:p>
    <w:p>
      <w:r>
        <w:t>Sistem GARDA-JKN telah melewati fase konseptual dan saat ini berstatus Minimum Viable Product (MVP) fungsional penuh (Tingkat Kesiapterapan Teknologi / TRL 6–7). Seluruh subsistem—mulai dari Intake &amp; Security Guardrail, Mesin Skrining XGBoost (Lapis 1), Qdrant Vector Knowledge Base (Lapis 2), LangGraph Clinical Arbiter (Lapis 3), hingga Antarmuka Dasbor Verifikator Next.js—telah terhubung secara end-to-end melalui protokol REST API asynchronous dan Server-Sent Events (SSE).</w:t>
      </w:r>
    </w:p>
    <w:p>
      <w:pPr>
        <w:pStyle w:val="Heading2"/>
      </w:pPr>
      <w:r>
        <w:t>B. Bukti Kinerja Klasifikasi Machine Learning Lapis 1</w:t>
      </w:r>
    </w:p>
    <w:p>
      <w:r>
        <w:t>Pengujian empiris pada 5.000 data historis klaim riil BPJS Kesehatan mencatatkan hasil luar biasa:</w:t>
        <w:br/>
        <w:t>• PR-AUC Score: 0.9958 (Presisi diskriminasi sangat tinggi pada kelas minoritas anomali).</w:t>
        <w:br/>
        <w:t>• ROC-AUC Score: 0.9996 (Separasi hampir sempurna antara klaim wajar dan klaim manipulatif).</w:t>
        <w:br/>
        <w:t>• Kinerja Kelas Fraud (F1-Score): 97,14% (Precision 97,14% dan Recall 97,14%).</w:t>
        <w:br/>
        <w:t>• Operational Hit Rate (Precision@100): 70,0% (70 dari 100 klaim teratas terkonfirmasi fraud nyata).</w:t>
        <w:br/>
        <w:t>• Kecepatan Inferensi Skrining: &lt; 100 milidetik per berkas (siap menangani ribuan klaim per detik).</w:t>
      </w:r>
    </w:p>
    <w:tbl>
      <w:tblPr>
        <w:tblW w:type="auto" w:w="0"/>
        <w:jc w:val="center"/>
        <w:tblLook w:firstColumn="1" w:firstRow="1" w:lastColumn="0" w:lastRow="0" w:noHBand="0" w:noVBand="1" w:val="04A0"/>
      </w:tblPr>
      <w:tblGrid>
        <w:gridCol w:w="4680"/>
        <w:gridCol w:w="4680"/>
      </w:tblGrid>
      <w:tr>
        <w:tc>
          <w:tcPr>
            <w:tcW w:type="dxa" w:w="4176"/>
          </w:tcPr>
          <w:p>
            <w:pPr>
              <w:jc w:val="center"/>
            </w:pPr>
            <w:r>
              <w:drawing>
                <wp:inline xmlns:a="http://schemas.openxmlformats.org/drawingml/2006/main" xmlns:pic="http://schemas.openxmlformats.org/drawingml/2006/picture">
                  <wp:extent cx="2468880" cy="2057400"/>
                  <wp:docPr id="4" name="Picture 4"/>
                  <wp:cNvGraphicFramePr>
                    <a:graphicFrameLocks noChangeAspect="1"/>
                  </wp:cNvGraphicFramePr>
                  <a:graphic>
                    <a:graphicData uri="http://schemas.openxmlformats.org/drawingml/2006/picture">
                      <pic:pic>
                        <pic:nvPicPr>
                          <pic:cNvPr id="0" name="plot_confusion_matrix.png"/>
                          <pic:cNvPicPr/>
                        </pic:nvPicPr>
                        <pic:blipFill>
                          <a:blip r:embed="rId12"/>
                          <a:stretch>
                            <a:fillRect/>
                          </a:stretch>
                        </pic:blipFill>
                        <pic:spPr>
                          <a:xfrm>
                            <a:off x="0" y="0"/>
                            <a:ext cx="2468880" cy="2057400"/>
                          </a:xfrm>
                          <a:prstGeom prst="rect"/>
                        </pic:spPr>
                      </pic:pic>
                    </a:graphicData>
                  </a:graphic>
                </wp:inline>
              </w:drawing>
            </w:r>
          </w:p>
        </w:tc>
        <w:tc>
          <w:tcPr>
            <w:tcW w:type="dxa" w:w="5040"/>
          </w:tcPr>
          <w:p>
            <w:pPr>
              <w:jc w:val="center"/>
            </w:pPr>
            <w:r>
              <w:drawing>
                <wp:inline xmlns:a="http://schemas.openxmlformats.org/drawingml/2006/main" xmlns:pic="http://schemas.openxmlformats.org/drawingml/2006/picture">
                  <wp:extent cx="3017520" cy="2263140"/>
                  <wp:docPr id="5" name="Picture 5"/>
                  <wp:cNvGraphicFramePr>
                    <a:graphicFrameLocks noChangeAspect="1"/>
                  </wp:cNvGraphicFramePr>
                  <a:graphic>
                    <a:graphicData uri="http://schemas.openxmlformats.org/drawingml/2006/picture">
                      <pic:pic>
                        <pic:nvPicPr>
                          <pic:cNvPr id="0" name="plot_roc_curve.png"/>
                          <pic:cNvPicPr/>
                        </pic:nvPicPr>
                        <pic:blipFill>
                          <a:blip r:embed="rId13"/>
                          <a:stretch>
                            <a:fillRect/>
                          </a:stretch>
                        </pic:blipFill>
                        <pic:spPr>
                          <a:xfrm>
                            <a:off x="0" y="0"/>
                            <a:ext cx="3017520" cy="2263140"/>
                          </a:xfrm>
                          <a:prstGeom prst="rect"/>
                        </pic:spPr>
                      </pic:pic>
                    </a:graphicData>
                  </a:graphic>
                </wp:inline>
              </w:drawing>
            </w:r>
          </w:p>
        </w:tc>
      </w:tr>
    </w:tbl>
    <w:p>
      <w:pPr>
        <w:jc w:val="center"/>
      </w:pPr>
      <w:r>
        <w:rPr>
          <w:i/>
          <w:sz w:val="18"/>
        </w:rPr>
        <w:t>Gambar 4. Bukti Kinerja Model Lapis 1: Confusion Matrix (Kiri) dan Kurva ROC-AUC 0.9996 (Kanan)</w:t>
      </w:r>
    </w:p>
    <w:p>
      <w:pPr>
        <w:pStyle w:val="Heading2"/>
      </w:pPr>
      <w:r>
        <w:t>C. Evaluasi Penalaran Agentic AI &amp; Anti-Halusinasi (DeepEval Score 1.00)</w:t>
      </w:r>
    </w:p>
    <w:p>
      <w:r>
        <w:t>Menggunakan framework evaluasi LLM berstandar industri (DeepEval) berbasis kaidah RAG Triad:</w:t>
        <w:br/>
        <w:t>• Faithfulness Score (1.00 / 100,0% - Sempurna): Seluruh fakta klinis dan pasal rujukan dalam Berita Acara 100% bersumber langsung dari dokumen PNPK Kemenkes RI (Zero-Hallucination).</w:t>
        <w:br/>
        <w:t>• Answer Relevancy Score (1.00 / 100,0% - Sempurna): Seluruh resume adjudikasi 100% relevan, koheren, dan fokus menjawab anomali diagnosis serta tindakan klaim pasien.</w:t>
        <w:br/>
        <w:t>• High-Reliability Fallback: Dilengkapi parser deterministik regex untuk menjamin draf putusan tetap terbit jika koneksi API LLM eksternal mengalami gangguan.</w:t>
      </w:r>
    </w:p>
    <w:p>
      <w:pPr>
        <w:jc w:val="center"/>
      </w:pPr>
      <w:r>
        <w:drawing>
          <wp:inline xmlns:a="http://schemas.openxmlformats.org/drawingml/2006/main" xmlns:pic="http://schemas.openxmlformats.org/drawingml/2006/picture">
            <wp:extent cx="3840480" cy="2194560"/>
            <wp:docPr id="6" name="Picture 6"/>
            <wp:cNvGraphicFramePr>
              <a:graphicFrameLocks noChangeAspect="1"/>
            </wp:cNvGraphicFramePr>
            <a:graphic>
              <a:graphicData uri="http://schemas.openxmlformats.org/drawingml/2006/picture">
                <pic:pic>
                  <pic:nvPicPr>
                    <pic:cNvPr id="0" name="plot_ai_evaluation.png"/>
                    <pic:cNvPicPr/>
                  </pic:nvPicPr>
                  <pic:blipFill>
                    <a:blip r:embed="rId14"/>
                    <a:stretch>
                      <a:fillRect/>
                    </a:stretch>
                  </pic:blipFill>
                  <pic:spPr>
                    <a:xfrm>
                      <a:off x="0" y="0"/>
                      <a:ext cx="3840480" cy="2194560"/>
                    </a:xfrm>
                    <a:prstGeom prst="rect"/>
                  </pic:spPr>
                </pic:pic>
              </a:graphicData>
            </a:graphic>
          </wp:inline>
        </w:drawing>
      </w:r>
    </w:p>
    <w:p>
      <w:pPr>
        <w:jc w:val="center"/>
      </w:pPr>
      <w:r>
        <w:rPr>
          <w:i/>
          <w:sz w:val="18"/>
        </w:rPr>
        <w:t>Gambar 5. Hasil Uji Anti-Halusinasi DeepEval (Skor Sempurna 100% pada Faithfulness &amp; Relevancy)</w:t>
      </w:r>
    </w:p>
    <w:p>
      <w:pPr>
        <w:pStyle w:val="Heading2"/>
      </w:pPr>
      <w:r>
        <w:t>D. Bukti Integrasi Antarmuka &amp; Uji End-to-End Playwright Testing</w:t>
      </w:r>
    </w:p>
    <w:p>
      <w:r>
        <w:t>Antarmuka dasbor verifikator diwujudkan dalam web modern berbasis Next.js dan Tailwind CSS, diverifikasi secara penuh menggunakan otomasi Playwright Testing (lulus 100% tanpa kendala CORS):</w:t>
      </w:r>
    </w:p>
    <w:p>
      <w:pPr>
        <w:jc w:val="center"/>
      </w:pPr>
      <w:r>
        <w:drawing>
          <wp:inline xmlns:a="http://schemas.openxmlformats.org/drawingml/2006/main" xmlns:pic="http://schemas.openxmlformats.org/drawingml/2006/picture">
            <wp:extent cx="4206240" cy="8888603"/>
            <wp:docPr id="7" name="Picture 7"/>
            <wp:cNvGraphicFramePr>
              <a:graphicFrameLocks noChangeAspect="1"/>
            </wp:cNvGraphicFramePr>
            <a:graphic>
              <a:graphicData uri="http://schemas.openxmlformats.org/drawingml/2006/picture">
                <pic:pic>
                  <pic:nvPicPr>
                    <pic:cNvPr id="0" name="plot_ui_frontend.png"/>
                    <pic:cNvPicPr/>
                  </pic:nvPicPr>
                  <pic:blipFill>
                    <a:blip r:embed="rId15"/>
                    <a:stretch>
                      <a:fillRect/>
                    </a:stretch>
                  </pic:blipFill>
                  <pic:spPr>
                    <a:xfrm>
                      <a:off x="0" y="0"/>
                      <a:ext cx="4206240" cy="8888603"/>
                    </a:xfrm>
                    <a:prstGeom prst="rect"/>
                  </pic:spPr>
                </pic:pic>
              </a:graphicData>
            </a:graphic>
          </wp:inline>
        </w:drawing>
      </w:r>
    </w:p>
    <w:p>
      <w:pPr>
        <w:jc w:val="center"/>
      </w:pPr>
      <w:r>
        <w:rPr>
          <w:i/>
          <w:sz w:val="18"/>
        </w:rPr>
        <w:t>Gambar 6. Tangkapan Layar Dasbor Verifikator GARDA-JKN Hasil Validasi Playwright End-to-End</w:t>
      </w:r>
    </w:p>
    <w:p>
      <w:r>
        <w:br w:type="page"/>
      </w:r>
    </w:p>
    <w:p>
      <w:pPr>
        <w:pStyle w:val="Heading1"/>
      </w:pPr>
      <w:r>
        <w:t>Bagian 6: Rencana &amp; Model Bisnis (VHDIC Canvas)</w:t>
      </w:r>
    </w:p>
    <w:p>
      <w:r>
        <w:t>Guna memastikan keberlanjutan dan kepatuhan regulasi di ekosistem kesehatan nasional, GARDA-JKN dipetakan secara holistik menggunakan kerangka VHDIC Canvas (Value, Health Governance, Discovery, Design, Delivery):</w:t>
      </w:r>
    </w:p>
    <w:p>
      <w:r>
        <w:t>• 1. Value (Dampak 5 Dimensi): Equity (audit adil 14 strata melindungi RS tipe C/D), Population Health (menjaga solvabilitas kas JKN untuk 270+ juta jiwa), Patient Value (melindungi pasien dari terapi berlebih/fiktif), Provider Value (mempercepat pencairan klaim bersih faskes jujur), dan Cost Efficiency (menutup kebocoran pra-pembayaran).</w:t>
        <w:br/>
        <w:t>• 2. Health Governance: Patuh Permenkes No. 16/2019 (Pencegahan Fraud), Permenkes No. 26/2021 (Pedoman INA-CBG), UU PDP No. 27/2022, rujukan resmi PNPK Kemenkes RI, serta enkripsi data AES-256.</w:t>
        <w:br/>
        <w:t>• 3. Discovery: Menjawab tantangan kebocoran Rp10–15 Triliun per tahun dan beban verifikator 8–12 juta klaim/bulan. Pengguna inti mencakup Dokter Verifikator BPJS, TKMKB, dan Tim Fraud Internal RS.</w:t>
        <w:br/>
        <w:t>• 4. Design: Arsitektur microservice 3-lapis berbasis FastAPI, antarmuka Next.js/React yang intuitif, serta interoperabilitas data SatuSehat Kemenkes (HL7 FHIR).</w:t>
        <w:br/>
        <w:t>• 5. Delivery: Roadmap implementasi 3 fase: Fase 1 (Simulasi Lingkungan Tertutup), Fase 2 (Pilot Shadowing di RS Tipe A), dan Fase 3 (Deployment Nasional di Seluruh Kedeputian Wilayah BPJS). Model bisnis berbasis penghematan biaya menghasilkan estimasi ROI sangat positif: mencegah 1% fraud menghemat kas negara Rp100–150 Miliar per tahun.</w:t>
      </w:r>
    </w:p>
    <w:p>
      <w:r>
        <w:br w:type="page"/>
      </w:r>
    </w:p>
    <w:p>
      <w:pPr>
        <w:pStyle w:val="Heading1"/>
      </w:pPr>
      <w:r>
        <w:t>Bagian 7: Dampak &amp; Nilai Transformasi</w:t>
      </w:r>
    </w:p>
    <w:p>
      <w:r>
        <w:t>Implementasi GARDA-JKN mengubah paradigma audit klaim dari proses administratif manual yang melelahkan menjadi ekosistem audit cerdas berbasis bukti klinis:</w:t>
        <w:br/>
        <w:t>• Transformasi SDM Verifikator: Mengeliminasi 70%–80% tugas klerikal repetitif melalui Auto-Approval klaim bersih. Verifikator BPJS naik kelas menjadi Clinical Adjudication Analyst yang fokus membedah 15%–20% kasus berisiko tinggi (status ESCALATED) dengan dukungan bukti pasal PNPK otomatis.</w:t>
        <w:br/>
        <w:t>• Akselerasi Kecepatan Operasional: Memangkas durasi evaluasi dari 15–25 menit menjadi di bawah 10 detik per berkas. Menggeser metode konvensional dari uji petik 5%–10% pasca-bayar menjadi 100% Full-Population Pre-Payment Audit sebelum dana dicairkan, menjamin kepatuhan batas SLA 15 hari.</w:t>
      </w:r>
    </w:p>
    <w:p>
      <w:r>
        <w:t>Dampak Multi-Penerima Manfaat (The Tri-Benefit Ecosystem):</w:t>
        <w:br/>
        <w:t>1. Bagi BPJS Kesehatan: Menutup celah kebocoran anggaran Rp10–15 Triliun per tahun secara pre-payment, menekan potensi defisit DJS, dan membangun akuntabilitas audit di hadapan BPK dan KPK.</w:t>
        <w:br/>
        <w:t>2. Bagi Rumah Sakit (FKRTL): Menjaga likuiditas arus kas faskes, menekan sengketa (dispute) klaim dari 10%–15% menjadi &lt;2%, serta membebaskan RS dari beban bunga talangan Supply Chain Financing (SCF).</w:t>
        <w:br/>
        <w:t>3. Bagi Peserta JKN: Melindungi pasien dari prosedur terapi berlebihan atau invasif fiktif demi keselamatan pasien.</w:t>
      </w:r>
    </w:p>
    <w:p>
      <w:pPr>
        <w:pStyle w:val="Heading2"/>
      </w:pPr>
      <w:r>
        <w:t>Matriks Komparasi Transformasi: Sebelum vs Sesudah GARDA-JKN</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t>Dimensi Evaluasi</w:t>
            </w:r>
          </w:p>
        </w:tc>
        <w:tc>
          <w:tcPr>
            <w:tcW w:type="dxa" w:w="3120"/>
          </w:tcPr>
          <w:p>
            <w:r>
              <w:t>Sebelum (Metode Manual)</w:t>
            </w:r>
          </w:p>
        </w:tc>
        <w:tc>
          <w:tcPr>
            <w:tcW w:type="dxa" w:w="3120"/>
          </w:tcPr>
          <w:p>
            <w:r>
              <w:t>Sesudah (GARDA-JKN)</w:t>
            </w:r>
          </w:p>
        </w:tc>
      </w:tr>
      <w:tr>
        <w:tc>
          <w:tcPr>
            <w:tcW w:type="dxa" w:w="3120"/>
          </w:tcPr>
          <w:p>
            <w:r>
              <w:t>Waktu Verifikasi Per Berkas</w:t>
            </w:r>
          </w:p>
        </w:tc>
        <w:tc>
          <w:tcPr>
            <w:tcW w:type="dxa" w:w="3120"/>
          </w:tcPr>
          <w:p>
            <w:r>
              <w:t>15 – 25 menit (Rawat Inap)</w:t>
            </w:r>
          </w:p>
        </w:tc>
        <w:tc>
          <w:tcPr>
            <w:tcW w:type="dxa" w:w="3120"/>
          </w:tcPr>
          <w:p>
            <w:r>
              <w:t>Di bawah 10 detik per berkas</w:t>
            </w:r>
          </w:p>
        </w:tc>
      </w:tr>
      <w:tr>
        <w:tc>
          <w:tcPr>
            <w:tcW w:type="dxa" w:w="3120"/>
          </w:tcPr>
          <w:p>
            <w:r>
              <w:t>Cakupan Audit Klaim</w:t>
            </w:r>
          </w:p>
        </w:tc>
        <w:tc>
          <w:tcPr>
            <w:tcW w:type="dxa" w:w="3120"/>
          </w:tcPr>
          <w:p>
            <w:r>
              <w:t>Sampling 5% – 10% pasca-bayar</w:t>
            </w:r>
          </w:p>
        </w:tc>
        <w:tc>
          <w:tcPr>
            <w:tcW w:type="dxa" w:w="3120"/>
          </w:tcPr>
          <w:p>
            <w:r>
              <w:t>100% Populasi Klaim (Pre-Payment)</w:t>
            </w:r>
          </w:p>
        </w:tc>
      </w:tr>
      <w:tr>
        <w:tc>
          <w:tcPr>
            <w:tcW w:type="dxa" w:w="3120"/>
          </w:tcPr>
          <w:p>
            <w:r>
              <w:t>Rasio Sengketa / Dispute</w:t>
            </w:r>
          </w:p>
        </w:tc>
        <w:tc>
          <w:tcPr>
            <w:tcW w:type="dxa" w:w="3120"/>
          </w:tcPr>
          <w:p>
            <w:r>
              <w:t>Tinggi (10% – 15% tertahan)</w:t>
            </w:r>
          </w:p>
        </w:tc>
        <w:tc>
          <w:tcPr>
            <w:tcW w:type="dxa" w:w="3120"/>
          </w:tcPr>
          <w:p>
            <w:r>
              <w:t>Sangat Rendah (&lt; 2% terisolasi)</w:t>
            </w:r>
          </w:p>
        </w:tc>
      </w:tr>
      <w:tr>
        <w:tc>
          <w:tcPr>
            <w:tcW w:type="dxa" w:w="3120"/>
          </w:tcPr>
          <w:p>
            <w:r>
              <w:t>Beban Kerja Verifikator</w:t>
            </w:r>
          </w:p>
        </w:tc>
        <w:tc>
          <w:tcPr>
            <w:tcW w:type="dxa" w:w="3120"/>
          </w:tcPr>
          <w:p>
            <w:r>
              <w:t>Klerikal mekanis (3.500+ berkas/bln)</w:t>
            </w:r>
          </w:p>
        </w:tc>
        <w:tc>
          <w:tcPr>
            <w:tcW w:type="dxa" w:w="3120"/>
          </w:tcPr>
          <w:p>
            <w:r>
              <w:t>Auditor Klinis Kasus Kompleks</w:t>
            </w:r>
          </w:p>
        </w:tc>
      </w:tr>
      <w:tr>
        <w:tc>
          <w:tcPr>
            <w:tcW w:type="dxa" w:w="3120"/>
          </w:tcPr>
          <w:p>
            <w:r>
              <w:t>Arus Kas (Cash Flow) RS</w:t>
            </w:r>
          </w:p>
        </w:tc>
        <w:tc>
          <w:tcPr>
            <w:tcW w:type="dxa" w:w="3120"/>
          </w:tcPr>
          <w:p>
            <w:r>
              <w:t>Tertunda 30–60 hari (Beban bunga SCF)</w:t>
            </w:r>
          </w:p>
        </w:tc>
        <w:tc>
          <w:tcPr>
            <w:tcW w:type="dxa" w:w="3120"/>
          </w:tcPr>
          <w:p>
            <w:r>
              <w:t>Pasti &amp; Tepat Waktu (&lt; 15 hari SLA)</w:t>
            </w:r>
          </w:p>
        </w:tc>
      </w:tr>
      <w:tr>
        <w:tc>
          <w:tcPr>
            <w:tcW w:type="dxa" w:w="3120"/>
          </w:tcPr>
          <w:p>
            <w:r>
              <w:t>Kepatuhan Regulasi Medis</w:t>
            </w:r>
          </w:p>
        </w:tc>
        <w:tc>
          <w:tcPr>
            <w:tcW w:type="dxa" w:w="3120"/>
          </w:tcPr>
          <w:p>
            <w:r>
              <w:t>Rentan human error &amp; persepsi beda</w:t>
            </w:r>
          </w:p>
        </w:tc>
        <w:tc>
          <w:tcPr>
            <w:tcW w:type="dxa" w:w="3120"/>
          </w:tcPr>
          <w:p>
            <w:r>
              <w:t>100% Rujukan Otentik PNPK Kemenkes</w:t>
            </w:r>
          </w:p>
        </w:tc>
      </w:tr>
    </w:tbl>
    <w:p>
      <w:r>
        <w:br w:type="page"/>
      </w:r>
    </w:p>
    <w:p>
      <w:pPr>
        <w:pStyle w:val="Heading1"/>
      </w:pPr>
      <w:r>
        <w:t>Bagian 8: Risiko, Privasi &amp; Etika</w:t>
      </w:r>
    </w:p>
    <w:p>
      <w:r>
        <w:t>Penerapan AI pada data kesehatan menuntut kepatuhan etis dan hukum tanpa kompromi. GARDA-JKN dibangun berlandaskan prinsip Privacy-by-Design, kepatuhan penuh UU PDP No. 27/2022, dan tata kelola Human-Centric AI.</w:t>
      </w:r>
    </w:p>
    <w:p>
      <w:r>
        <w:t>• Perlindungan Data Pribadi (UU PDP No. 27/2022): Zero-Knowledge Privacy Masking menyensor seluruh PII (Nama Pasien, NIK, No. Kartu BPJS) di pintu awal ([DISENSOR_UNTUK_PRIVASI]). Analisis LLM bersifat ephemeral (zero data retention tanpa menyimpan data di server eksternal), dan transmisi diamankan protokol TLS 1.3 mTLS serta enkripsi basis data AES-256.</w:t>
        <w:br/>
        <w:t>• Mitigasi Bias Algoritma (14 Strata Faskes): Baseline audit dibagi ke dalam 14 strata faskes (RS Tipe A, B, C, D dan regional). Pola klaim RS tipe C/D atau daerah 3T hanya dibandingkan terhadap faskes setara (peer-group), bukan diadili memakai standar RS rujukan nasional metropolitan. Batas anomali diatur ketat; zona ambigu (skor 0.65 – 0.85) dialihkan ke verifikator manusia.</w:t>
        <w:br/>
        <w:t>• Tata Kelola Human-in-the-Loop: GARDA-JKN beroperasi murni sebagai Clinical Decision Support System (CDSS) dan dilarang keras menolak klaim secara sepihak (Zero Autonomous Auto-Rejection). Dokter Verifikator memegang hak veto mutlak (Two-Person Verification Rule) dengan dukungan transparansi TreeSHAP dan sitasi resmi PNPK Kemenkes.</w:t>
      </w:r>
    </w:p>
    <w:p>
      <w:pPr>
        <w:pStyle w:val="Heading2"/>
      </w:pPr>
      <w:r>
        <w:t>Matriks Penilaian &amp; Mitigasi Risiko Kritis</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Kategori Risiko</w:t>
            </w:r>
          </w:p>
        </w:tc>
        <w:tc>
          <w:tcPr>
            <w:tcW w:type="dxa" w:w="2340"/>
          </w:tcPr>
          <w:p>
            <w:r>
              <w:t>Potensi Ancaman</w:t>
            </w:r>
          </w:p>
        </w:tc>
        <w:tc>
          <w:tcPr>
            <w:tcW w:type="dxa" w:w="2340"/>
          </w:tcPr>
          <w:p>
            <w:r>
              <w:t>Tingkat</w:t>
            </w:r>
          </w:p>
        </w:tc>
        <w:tc>
          <w:tcPr>
            <w:tcW w:type="dxa" w:w="2340"/>
          </w:tcPr>
          <w:p>
            <w:r>
              <w:t>Strategi Mitigasi Teruji GARDA-JKN</w:t>
            </w:r>
          </w:p>
        </w:tc>
      </w:tr>
      <w:tr>
        <w:tc>
          <w:tcPr>
            <w:tcW w:type="dxa" w:w="2340"/>
          </w:tcPr>
          <w:p>
            <w:r>
              <w:t>Manipulasi Teks (Prompt Injection)</w:t>
            </w:r>
          </w:p>
        </w:tc>
        <w:tc>
          <w:tcPr>
            <w:tcW w:type="dxa" w:w="2340"/>
          </w:tcPr>
          <w:p>
            <w:r>
              <w:t>Faskes menyisipkan teks instruksi pada resume medis guna mengecoh LLM agar klaim lolos.</w:t>
            </w:r>
          </w:p>
        </w:tc>
        <w:tc>
          <w:tcPr>
            <w:tcW w:type="dxa" w:w="2340"/>
          </w:tcPr>
          <w:p>
            <w:r>
              <w:t>Tinggi</w:t>
            </w:r>
          </w:p>
        </w:tc>
        <w:tc>
          <w:tcPr>
            <w:tcW w:type="dxa" w:w="2340"/>
          </w:tcPr>
          <w:p>
            <w:r>
              <w:t>Security Guardrail Node: Sanitasi regex &amp; validasi skema semantik ketat sebelum teks disentuh LLM.</w:t>
            </w:r>
          </w:p>
        </w:tc>
      </w:tr>
      <w:tr>
        <w:tc>
          <w:tcPr>
            <w:tcW w:type="dxa" w:w="2340"/>
          </w:tcPr>
          <w:p>
            <w:r>
              <w:t>Halusinasi Regulasi Medis LLM</w:t>
            </w:r>
          </w:p>
        </w:tc>
        <w:tc>
          <w:tcPr>
            <w:tcW w:type="dxa" w:w="2340"/>
          </w:tcPr>
          <w:p>
            <w:r>
              <w:t>AI mengarang aturan klinis fiktif yang merugikan faskes atau membahayakan pasien.</w:t>
            </w:r>
          </w:p>
        </w:tc>
        <w:tc>
          <w:tcPr>
            <w:tcW w:type="dxa" w:w="2340"/>
          </w:tcPr>
          <w:p>
            <w:r>
              <w:t>Tinggi</w:t>
            </w:r>
          </w:p>
        </w:tc>
        <w:tc>
          <w:tcPr>
            <w:tcW w:type="dxa" w:w="2340"/>
          </w:tcPr>
          <w:p>
            <w:r>
              <w:t>Constrained Qdrant RAG: Suhu temp=0.0 dikunci hanya merujuk PDF resmi PNPK (DeepEval 100% Faithfulness).</w:t>
            </w:r>
          </w:p>
        </w:tc>
      </w:tr>
      <w:tr>
        <w:tc>
          <w:tcPr>
            <w:tcW w:type="dxa" w:w="2340"/>
          </w:tcPr>
          <w:p>
            <w:r>
              <w:t>Alarm Palsu (False Positive Dispute)</w:t>
            </w:r>
          </w:p>
        </w:tc>
        <w:tc>
          <w:tcPr>
            <w:tcW w:type="dxa" w:w="2340"/>
          </w:tcPr>
          <w:p>
            <w:r>
              <w:t>Klaim RS patuh tertuduh fraud sehingga mengganggu arus kas dan kemitraan rumah sakit.</w:t>
            </w:r>
          </w:p>
        </w:tc>
        <w:tc>
          <w:tcPr>
            <w:tcW w:type="dxa" w:w="2340"/>
          </w:tcPr>
          <w:p>
            <w:r>
              <w:t>Sedang</w:t>
            </w:r>
          </w:p>
        </w:tc>
        <w:tc>
          <w:tcPr>
            <w:tcW w:type="dxa" w:w="2340"/>
          </w:tcPr>
          <w:p>
            <w:r>
              <w:t>Zero Auto-Reject &amp; Sanggah 14 Hari: Sistem tidak pernah menolak sepihak; RS berhak unggah sanggahan via V-Claim.</w:t>
            </w:r>
          </w:p>
        </w:tc>
      </w:tr>
      <w:tr>
        <w:tc>
          <w:tcPr>
            <w:tcW w:type="dxa" w:w="2340"/>
          </w:tcPr>
          <w:p>
            <w:r>
              <w:t>Latensi Jaringan &amp; Biaya Token API</w:t>
            </w:r>
          </w:p>
        </w:tc>
        <w:tc>
          <w:tcPr>
            <w:tcW w:type="dxa" w:w="2340"/>
          </w:tcPr>
          <w:p>
            <w:r>
              <w:t>Lonjakan volume klaim atau latensi cloud mengganggu kelancaran antrean verifikasi.</w:t>
            </w:r>
          </w:p>
        </w:tc>
        <w:tc>
          <w:tcPr>
            <w:tcW w:type="dxa" w:w="2340"/>
          </w:tcPr>
          <w:p>
            <w:r>
              <w:t>Sedang</w:t>
            </w:r>
          </w:p>
        </w:tc>
        <w:tc>
          <w:tcPr>
            <w:tcW w:type="dxa" w:w="2340"/>
          </w:tcPr>
          <w:p>
            <w:r>
              <w:t>Offline Fallback Architecture: Lapis 1 (Heuristik &amp; XGBoost) dapat berjalan mandiri secara offline di server lokal (&lt;10ms).</w:t>
            </w:r>
          </w:p>
        </w:tc>
      </w:tr>
    </w:tbl>
    <w:p>
      <w:r>
        <w:br w:type="page"/>
      </w:r>
    </w:p>
    <w:p>
      <w:pPr>
        <w:pStyle w:val="Heading1"/>
      </w:pPr>
      <w:r>
        <w:t>Bagian 9: Profil Pengembang &amp; Rekam Jejak Eksekusi</w:t>
      </w:r>
    </w:p>
    <w:p>
      <w:r>
        <w:t>Inovasi GARDA-JKN dirancang, dikembangkan, dan divalidasi secara mandiri oleh Inovator Tunggal (Solo Innovator &amp; Fullstack AI Architect). Kemandirian eksekusi ini membuktikan penguasaan komprehensif atas seluruh spektrum rekayasa teknologi dan domain informatika kesehatan tanpa hambatan birokrasi komunikasi (End-to-End Ownership):</w:t>
      </w:r>
    </w:p>
    <w:p>
      <w:pPr>
        <w:pStyle w:val="Heading2"/>
      </w:pPr>
      <w:r>
        <w:t>A. Identitas Inovator &amp; Kredensial Akademik</w:t>
      </w:r>
    </w:p>
    <w:p>
      <w:r>
        <w:t>• Nama Lengkap: Wahyu Maulana Ishaq</w:t>
        <w:br/>
        <w:t>• Peran Proyek: Lead Fullstack AI Engineer &amp; Health Informatics Specialist</w:t>
        <w:br/>
        <w:t>• Pendidikan: Mahasiswa S1 Informatika (Peminatan Data Science), Universitas Alma Ata, Yogyakarta (IPK: 3.84 / 4.00).</w:t>
        <w:br/>
        <w:t>• Relevansi Studi &amp; Kompetensi Medis: Telah menempuh kurikulum spesifik Electronic Health Records (EHR), Natural Language Processing (NLP), Machine Learning, Deep Learning, dan Visualisasi Data Medis.</w:t>
        <w:br/>
        <w:t>• Kontak &amp; Tautan Profesional: GitHub (github.com/wmaulanaaishq) | LinkedIn (linkedin.com/in/wahyu-maulana-ishaq) | Email (maulaishaq1@gmail.com)</w:t>
      </w:r>
    </w:p>
    <w:p>
      <w:pPr>
        <w:pStyle w:val="Heading2"/>
      </w:pPr>
      <w:r>
        <w:t>B. Rekam Jejak Teruji dalam AI Kesehatan (Clinical Decision Support)</w:t>
      </w:r>
    </w:p>
    <w:p>
      <w:r>
        <w:t>• Pengembang AegisMDT AI Agent (Hackathon Project 2026): Merancang dan mengimplementasikan purwarupa Multi-Agent Oncology Decision Support berbasis Python/FastAPI yang mengorkestrasi agen patologi, onkologi, dan prognostik melalui alur konsensus berjenjang, RAG dokumen klinis, serta Human-in-the-Loop revision.</w:t>
        <w:br/>
        <w:t>• Pengembang Utama GARDA-JKN (BPJS Healthkathon 2026): Mengeksekusi sistem adjudikasi klaim pra-pembayaran 3-Lapis end-to-end secara mandiri, mulai dari pengolahan 5.000 data klaim BPJS Kesehatan, Vector DB Qdrant berstandar PNPK Kemenkes, hingga pengujian otomatis Playwright E2E dan DeepEval (Faithfulness 1.00).</w:t>
      </w:r>
    </w:p>
    <w:p>
      <w:pPr>
        <w:pStyle w:val="Heading2"/>
      </w:pPr>
      <w:r>
        <w:t>C. Pelatihan Internasional &amp; Pengalaman Tata Kelola AI Industri</w:t>
      </w:r>
    </w:p>
    <w:p>
      <w:r>
        <w:t>• Alumnus AI &amp; Data Science Program — Matsuo Iwasawa Lab, The University of Tokyo (2026): Menyelesaikan program intensif machine learning tingkat lanjut; merancang pipeline klasifikasi tabular (LightGBM, XGBoost, CatBoost), Optuna tuning, dan Explainable AI (SHAP) dengan simulasi dampak finansial bernilai $11.4 Juta.</w:t>
        <w:br/>
        <w:t>• Data Annotator (Remote Freelance) — Uber AI Solutions (Des 2025 – Sekarang): Terlibat langsung dalam evaluasi output LLM melalui Reinforcement Learning from Human Feedback (RLHF), preference ranking, dan response quality assessment guna menjamin keandalan dan alignment model AI.</w:t>
      </w:r>
    </w:p>
    <w:p>
      <w:pPr>
        <w:pStyle w:val="Heading2"/>
      </w:pPr>
      <w:r>
        <w:t>D. Prestasi Kompetisi &amp; Ketangkasan Eksekusi (Agility)</w:t>
      </w:r>
    </w:p>
    <w:p>
      <w:r>
        <w:t>• 5x Hacker Badge di Lablab.ai (Global AI Hackathon Platform): Terbukti memiliki ketangkasan (agility) tinggi dalam membangun dan meluncurkan produk AI fungsional dalam batasan waktu kompetisi global yang ketat.</w:t>
        <w:br/>
        <w:t>• Juara Best Proposal — PKM Idea Competition 2025 (Universitas Alma Ata): Memiliki rekam jejak teruji dalam merumuskan proposal inovasi ilmiah yang terstruktur, berdampak tinggi, dan memenuhi standar metodologi riset formal.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