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 Proposal Healthkathon 2026: GARDA-JKN</w:t>
      </w:r>
    </w:p>
    <w:p>
      <w:pPr>
        <w:pStyle w:val="Heading1"/>
      </w:pPr>
      <w:r>
        <w:t>Bagian 1: Identitas &amp; Positioning</w:t>
      </w:r>
    </w:p>
    <w:p>
      <w:r>
        <w:t>A. Identitas Solusi &amp; Tagline</w:t>
        <w:br/>
        <w:t>• Nama Solusi: GARDA-JKN (Generative Agent for Risk Detection and Adjudication)</w:t>
        <w:br/>
        <w:t>• Tagline: Detect Smarter, Protect JKN: Mesin Penalaran Klinis Berbasis Agentic AI untuk Adjudikasi Klaim Pra-Pembayaran yang Cerdas, Transparan, dan Berkeadilan.</w:t>
        <w:br/>
        <w:t>• Nilai Utama (Core Value): Mentransformasi verifikasi klaim BPJS Kesehatan dari pengawasan klerikal pasca-bayar (post-payment) menjadi adjudikasi cerdas pra-pembayaran (pre-payment) berbasis penalaran medis berstandar Pedoman Nasional Pelayanan Kedokteran (PNPK Kemenkes RI).</w:t>
      </w:r>
    </w:p>
    <w:p>
      <w:r>
        <w:t>B. Kategori &amp; Sub-Kategori Tantangan</w:t>
        <w:br/>
        <w:t>• Kategori Utama: Efisiensi Risiko pada Fasilitas Kesehatan (FKRTL)</w:t>
        <w:br/>
        <w:t>• Sub-Kategori Fokus:</w:t>
        <w:br/>
        <w:t xml:space="preserve">  1. Upcoding &amp; Unbundling: Manipulasi tingkat keparahan diagnosis (severity level I/II/III) dan pemecahan paket layanan INA-CBG yang tidak sesuai indikasi klinis.</w:t>
        <w:br/>
        <w:t xml:space="preserve">  2. Phantom &amp; Repeat Billing: Pengajuan klaim fiktif atas tindakan/layanan yang tidak pernah diberikan atau klaim berulang pada episode rawat yang sama.</w:t>
        <w:br/>
        <w:t xml:space="preserve">  3. Prolonged Stay &amp; Readmisi Berulang: Perpanjangan lama rawat inap (LOS) tanpa justifikasi medis serta pemulangan dini yang disengaja untuk klaim berulang.</w:t>
      </w:r>
    </w:p>
    <w:p>
      <w:r>
        <w:t>C. Positioning Strategis &amp; Diferensiasi Unik</w:t>
        <w:br/>
        <w:t>Di tengah keterbatasan sistem deteksi kecurangan saat ini, GARDA-JKN mendefinisikan ulang lanskap adjudikasi klaim melalui tiga pilar positioning pembeda:</w:t>
        <w:br/>
        <w:t>1. Bukan Sekadar Heuristik Statis (Rule-Based Biasa): Sistem aturan statis konvensional sangat kaku dan rentan dimanipulasi (gaming the system). GARDA-JKN menggabungkan Machine Learning adaptif (Stratified Isolation Forest &amp; XGBoost) yang mampu membedah anomali non-linear lintas 14 strata fasilitas kesehatan tanpa bias ukuran rumah sakit.</w:t>
        <w:br/>
        <w:t>2. Bukan "Black-Box AI" yang Memicu Friksi: Mayoritas sistem AI ditolak oleh faskes karena hanya mengeluarkan skor probabilitas tanpa alasan medis yang jelas. GARDA-JKN menghadirkan Explainable AI berbasis Agentic RAG yang memvalidasi setiap temuan dengan rujukan eksak bab, tabel, dan halaman dari PNPK Kemenkes secara otomatis.</w:t>
        <w:br/>
        <w:t>3. Arsitektur Pra-Pembayaran Nir-Friksi (Zero-Disruption Middleware): Beroperasi sebagai middleware cerdas yang terhubung langsung ke Web Service V-Claim BPJS Kesehatan, menyelesaikan adjudikasi dalam hitungan detik tanpa merombak sistem eksisting, sekaligus menjamin kendali hukum tetap berada di tangan Dokter Verifikator (Human-in-the-Loop).</w:t>
      </w:r>
    </w:p>
    <w:p>
      <w:r>
        <w:t>D. Profil Pengembang &amp; Kapabilitas Eksekusi End-to-End (Solo Innovator)</w:t>
        <w:br/>
        <w:t>Sistem GARDA-JKN dirancang, dibangun, dan diuji secara mandiri oleh Inovator Tunggal: Wahyu Maulana Ishaq (Solo Developer &amp; Fullstack AI Architect), mahasiswa S1 Informatika Universitas Alma Ata (Peminatan Data Science, IPK 3.84/4.00) dengan keahlian multidisipliner yang mencakup seluruh spektrum sistem:</w:t>
        <w:br/>
        <w:t>• Rekayasa AI &amp; Data Science: Pemodelan Stratified Isolation Forest (14 strata) dan XGBoost terlatih pada 5.000 data historis klaim, basis data vektor Qdrant, serta orkestrasi penalaran multi-agen LangGraph.</w:t>
        <w:br/>
        <w:t>• Arsitektur Perangkat Lunak &amp; Integrasi: Microservice FastAPI, integrasi bridging API V-Claim BPJS Kesehatan, dashboard antarmuka Next.js/React, dan otomasi pengujian sistem Playwright E2E.</w:t>
        <w:br/>
        <w:t>• Domain Klinis &amp; Regulasi Medis: Pemodelan aturan INA-CBG, kurasi ontologi medis PNPK Kemenkes RI, serta penjaminan mutu inferensi bebas halusinasi menggunakan framework DeepEval (skor 1.00).</w:t>
      </w:r>
    </w:p>
    <w:p>
      <w:pPr>
        <w:pStyle w:val="Heading1"/>
      </w:pPr>
      <w:r>
        <w:t>Bagian 2: Masalah &amp; Urgensi</w:t>
      </w:r>
    </w:p>
    <w:p>
      <w:r>
        <w:t>Spesifisitas Masalah:</w:t>
        <w:br/>
        <w:t>Kebocoran dana Program JKN akibat fraud sistemik di Fasilitas Kesehatan Tingkat Lanjut (FKRTL). Modus utama mencakup Upcoding (manipulasi tingkat severity INA-CBG agar tarif lebih mahal), Phantom Billing (klaim pasien/tindakan fiktif), dan Readmisi (pemecahan episode rawat inap).</w:t>
      </w:r>
    </w:p>
    <w:p>
      <w:r>
        <w:t>Dukungan Data &amp; Urgensi:</w:t>
        <w:br/>
        <w:t>- Kerugian Finansial: Berdasarkan tinjauan KPK dan Kemenkes (2024), estimasi kebocoran dana JKN mencapai 5-10% dari total beban klaim, atau setara dengan Rp10 hingga Rp15 Triliun per tahun. Bahkan pada Juli 2024, KPK menemukan konfirmasi Phantom Billing senilai Rp35 Miliar hanya dari 3 rumah sakit sebagai fenomena puncak gunung es.</w:t>
        <w:br/>
        <w:t>- Beban Kerja Ekstrem (Fatigue): Pada tahun 2023, layanan JKN menyentuh 606,7 juta kunjungan. Verifikator medis BPJS Kesehatan dihadapkan pada 8 hingga 12 juta klaim FKRTL per bulan. Dengan rasio ribuan klaim per verifikator dan batas waktu pencairan SLA (Service Level Agreement) 15 hari, verifikasi manual sangat rentan human error dan mustahil meneliti rekam medis 100% secara akurat.</w:t>
      </w:r>
    </w:p>
    <w:p>
      <w:r>
        <w:t>Jika kecurangan berlapis ini tidak ditekan di fase pre-payment menggunakan sistem pendeteksi cerdas yang mampu membedah pola non-linear secara seketika (real-time), kebocoran anggaran JKN akan menggerus keberlanjutan jaminan kesehatan nasional bagi ratusan juta rakyat Indonesia.</w:t>
      </w:r>
    </w:p>
    <w:p>
      <w:pPr>
        <w:pStyle w:val="Heading1"/>
      </w:pPr>
      <w:r>
        <w:t>Bagian 3: Solusi, Keunggulan &amp; Arsitektur</w:t>
      </w:r>
    </w:p>
    <w:p>
      <w:r>
        <w:t>GARDA-JKN adalah sistem adjudikasi klaim pra-pembayaran (pre-payment) berbasis Tri-Layer AI yang memverifikasi aspek finansial, kepatuhan regulasi medis, dan justifikasi hukum dalam hitungan &lt;10 detik per klaim, sembari tetap menempatkan dokter verifikator sebagai penentu keputusan akhir (Human-in-the-Loop).</w:t>
      </w:r>
    </w:p>
    <w:p>
      <w:pPr>
        <w:pStyle w:val="Heading2"/>
      </w:pPr>
      <w:r>
        <w:t>A. Arsitektur 3-Lapis (Tri-Layer AI System)</w:t>
      </w:r>
    </w:p>
    <w:p>
      <w:r>
        <w:t>Alih-alih mengandalkan satu model Blackbox AI yang rentan salah dan memicu sengketa faskes, GARDA-JKN membagi adjudikasi ke dalam 3 simpul cerdas yang saling memvalidasi secara berjenjang:</w:t>
      </w:r>
    </w:p>
    <w:p>
      <w:r>
        <w:t>• Lapis 1 — Screening Finansial Kilat (XGBoost + SHAP):</w:t>
        <w:br/>
        <w:t xml:space="preserve">  - Fungsi: Menapis anomali biaya dan pola klaim non-linear dalam hitungan milidetik.</w:t>
        <w:br/>
        <w:t xml:space="preserve">  - Keunggulan: Dilatih dengan Stratified Isolation Forest (14 strata RS) sehingga tidak bias terhadap faskes kecil (Kelas C/D/3T). Algoritma SHAP menerjemahkan skor angka menjadi Auditor Reason Codes yang transparan bagi verifikator.</w:t>
      </w:r>
    </w:p>
    <w:p>
      <w:r>
        <w:t>• Lapis 2 — Mesin Pencari Regulasi Medis (Qdrant RAG + PyMuPDF4LLM):</w:t>
        <w:br/>
        <w:t xml:space="preserve">  - Fungsi: Mencocokkan kepatuhan tindakan medis terhadap Pedoman Nasional Pelayanan Kedokteran (PNPK Kemenkes).</w:t>
        <w:br/>
        <w:t xml:space="preserve">  - Keunggulan: Menggunakan PyMuPDF4LLM untuk mengekstrak "Tabel Bersarang" (dosis obat) dan "Flowchart Klinis" menjadi Markdown murni, menjaga konteks relasional medis tetap utuh saat diindeks ke Qdrant Vector DB.</w:t>
      </w:r>
    </w:p>
    <w:p>
      <w:r>
        <w:t>• Lapis 3 — Agen Penalaran Klinis (LangGraph Agent - DeepSeek):</w:t>
        <w:br/>
        <w:t xml:space="preserve">  - Fungsi: The Clinical Arbiter yang menyintesis anomali Lapis 1 dengan bukti regulasi Lapis 2.</w:t>
        <w:br/>
        <w:t xml:space="preserve">  - Keunggulan: Berdasarkan Fraud Control Matrix, agen membedakan "dugaan heuristik" (gap tarif) dengan "bukti otentik" (pelanggaran kriteria PNPK) guna menerbitkan draf Berita Acara yang definitif dan berdasar hukum.</w:t>
      </w:r>
    </w:p>
    <w:p>
      <w:pPr>
        <w:pStyle w:val="Heading2"/>
      </w:pPr>
      <w:r>
        <w:t>B. Alur Kerja Deterministik 5 Simpul (LangGraph StateGraph)</w:t>
      </w:r>
    </w:p>
    <w:p>
      <w:r>
        <w:t>Alur eksekusi dikelola oleh StateGraph deterministik (bebas risiko infinite loop) melalui 5 tahapan terkoordinasi:</w:t>
        <w:br/>
        <w:t>1. Intake &amp; Security Node: Menyensor identitas pasien (PII Masking Nama &amp; NIK) serta memindai ancaman Prompt Injection / Jailbreak pada catatan medis.</w:t>
        <w:br/>
        <w:t>2. Risk Scoring Node: Lapis 1 menghitung skor anomali finansial secara instan terhadap klaster faskes yang setara.</w:t>
        <w:br/>
        <w:t>3. Smart Handoff Router:</w:t>
        <w:br/>
        <w:t xml:space="preserve">   - Klaim Wajar (Inlier): Langsung dialihkan ke jalur hijau Auto-Approve (&lt;100 milidetik).</w:t>
        <w:br/>
        <w:t xml:space="preserve">   - Klaim Mencurigakan (Outlier): Diteruskan ke tahap audit regulasi medis Lapis 2 &amp; 3.</w:t>
        <w:br/>
        <w:t>4. Clinical Arbiter Node: LLM menyusun rekomendasi putusan definitif (Approve, Downgrade Tarif, atau Escalate) disertai sitasi pasal PNPK.</w:t>
        <w:br/>
        <w:t>5. Human-in-the-Loop Node: Berkas berstatus ambigu (ESCALATED) didorong ke antarmuka verifikator agar Dokter Verifikator memegang hak veto mutlak.</w:t>
      </w:r>
    </w:p>
    <w:p>
      <w:pPr>
        <w:jc w:val="center"/>
      </w:pPr>
      <w:r>
        <w:drawing>
          <wp:inline xmlns:a="http://schemas.openxmlformats.org/drawingml/2006/main" xmlns:pic="http://schemas.openxmlformats.org/drawingml/2006/picture">
            <wp:extent cx="4572000" cy="5461000"/>
            <wp:docPr id="1" name="Picture 1"/>
            <wp:cNvGraphicFramePr>
              <a:graphicFrameLocks noChangeAspect="1"/>
            </wp:cNvGraphicFramePr>
            <a:graphic>
              <a:graphicData uri="http://schemas.openxmlformats.org/drawingml/2006/picture">
                <pic:pic>
                  <pic:nvPicPr>
                    <pic:cNvPr id="0" name="plot_workflow_system.png"/>
                    <pic:cNvPicPr/>
                  </pic:nvPicPr>
                  <pic:blipFill>
                    <a:blip r:embed="rId9"/>
                    <a:stretch>
                      <a:fillRect/>
                    </a:stretch>
                  </pic:blipFill>
                  <pic:spPr>
                    <a:xfrm>
                      <a:off x="0" y="0"/>
                      <a:ext cx="4572000" cy="5461000"/>
                    </a:xfrm>
                    <a:prstGeom prst="rect"/>
                  </pic:spPr>
                </pic:pic>
              </a:graphicData>
            </a:graphic>
          </wp:inline>
        </w:drawing>
      </w:r>
    </w:p>
    <w:p>
      <w:pPr>
        <w:pStyle w:val="Heading2"/>
      </w:pPr>
      <w:r>
        <w:t>C. Keunggulan Kompetitif Utama (Pembeda 30 Detik Baca)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Dimensi Evaluasi</w:t>
            </w:r>
          </w:p>
        </w:tc>
        <w:tc>
          <w:tcPr>
            <w:tcW w:type="dxa" w:w="2880"/>
          </w:tcPr>
          <w:p>
            <w:r>
              <w:t>Sistem Konvensional / AI Standar</w:t>
            </w:r>
          </w:p>
        </w:tc>
        <w:tc>
          <w:tcPr>
            <w:tcW w:type="dxa" w:w="2880"/>
          </w:tcPr>
          <w:p>
            <w:r>
              <w:t>GARDA-JKN (Inovasi Kami)</w:t>
            </w:r>
          </w:p>
        </w:tc>
      </w:tr>
      <w:tr>
        <w:tc>
          <w:tcPr>
            <w:tcW w:type="dxa" w:w="2880"/>
          </w:tcPr>
          <w:p>
            <w:r>
              <w:t>Transparansi Keputusan</w:t>
            </w:r>
          </w:p>
        </w:tc>
        <w:tc>
          <w:tcPr>
            <w:tcW w:type="dxa" w:w="2880"/>
          </w:tcPr>
          <w:p>
            <w:r>
              <w:t>Skor risiko "Black-box" tanpa penjelasan klinis.</w:t>
            </w:r>
          </w:p>
        </w:tc>
        <w:tc>
          <w:tcPr>
            <w:tcW w:type="dxa" w:w="2880"/>
          </w:tcPr>
          <w:p>
            <w:r>
              <w:t>Explainable AI: SHAP Reason Codes + Sitasi Pasal PNPK Kemenkes.</w:t>
            </w:r>
          </w:p>
        </w:tc>
      </w:tr>
      <w:tr>
        <w:tc>
          <w:tcPr>
            <w:tcW w:type="dxa" w:w="2880"/>
          </w:tcPr>
          <w:p>
            <w:r>
              <w:t>Keadilan Faskes (Fairness)</w:t>
            </w:r>
          </w:p>
        </w:tc>
        <w:tc>
          <w:tcPr>
            <w:tcW w:type="dxa" w:w="2880"/>
          </w:tcPr>
          <w:p>
            <w:r>
              <w:t>Bias memojokkan RS kecil/daerah karena volume beda.</w:t>
            </w:r>
          </w:p>
        </w:tc>
        <w:tc>
          <w:tcPr>
            <w:tcW w:type="dxa" w:w="2880"/>
          </w:tcPr>
          <w:p>
            <w:r>
              <w:t>Stratified 14 Strata: Audit adil berbasis klaster faskes setara.</w:t>
            </w:r>
          </w:p>
        </w:tc>
      </w:tr>
      <w:tr>
        <w:tc>
          <w:tcPr>
            <w:tcW w:type="dxa" w:w="2880"/>
          </w:tcPr>
          <w:p>
            <w:r>
              <w:t>Kecepatan Operasional</w:t>
            </w:r>
          </w:p>
        </w:tc>
        <w:tc>
          <w:tcPr>
            <w:tcW w:type="dxa" w:w="2880"/>
          </w:tcPr>
          <w:p>
            <w:r>
              <w:t>Audit manual butuh 15-25 menit per berkas rawat.</w:t>
            </w:r>
          </w:p>
        </w:tc>
        <w:tc>
          <w:tcPr>
            <w:tcW w:type="dxa" w:w="2880"/>
          </w:tcPr>
          <w:p>
            <w:r>
              <w:t>Selesai di bawah 10 detik per klaim (Auto-Approve klaim bersih).</w:t>
            </w:r>
          </w:p>
        </w:tc>
      </w:tr>
      <w:tr>
        <w:tc>
          <w:tcPr>
            <w:tcW w:type="dxa" w:w="2880"/>
          </w:tcPr>
          <w:p>
            <w:r>
              <w:t>Kedaulatan Keputusan</w:t>
            </w:r>
          </w:p>
        </w:tc>
        <w:tc>
          <w:tcPr>
            <w:tcW w:type="dxa" w:w="2880"/>
          </w:tcPr>
          <w:p>
            <w:r>
              <w:t>Otonomi buta AI berisiko penolakan sepihak.</w:t>
            </w:r>
          </w:p>
        </w:tc>
        <w:tc>
          <w:tcPr>
            <w:tcW w:type="dxa" w:w="2880"/>
          </w:tcPr>
          <w:p>
            <w:r>
              <w:t>Human-in-the-Loop: Dokter Verifikator pemegang hak veto mutlak.</w:t>
            </w:r>
          </w:p>
        </w:tc>
      </w:tr>
    </w:tbl>
    <w:p>
      <w:pPr>
        <w:pStyle w:val="Heading2"/>
      </w:pPr>
      <w:r>
        <w:t>D. Mekanisme Integrasi ke Ekosistem V-Claim BPJS (Zero-Disruption Middleware)</w:t>
      </w:r>
    </w:p>
    <w:p>
      <w:r>
        <w:t>GARDA-JKN beroperasi sebagai middleware pra-pembayaran tanpa mengubah alur SIMRS faskes melalui 3 jalur teknis:</w:t>
        <w:br/>
        <w:t>• 1. Web Service Bridging V-Claim (API Interceptor): Mencegat payload klaim via RESTful API standar BPJS (HMAC-SHA256 &amp; AES-256) saat tombol "Kirim Klaim" ditekan di SIMRS.</w:t>
        <w:br/>
        <w:t>• 2. Embedded AI Review Panel di Layar Verifikator: Panel rekomendasi AI muncul otomatis di dalam dasbor V-Claim verifikator lengkap dengan bukti pasal PNPK dan tombol aksi hukum.</w:t>
        <w:br/>
        <w:t>• 3. Interoperabilitas SatuSehat (HL7 FHIR): Menarik bukti klinis digital (lab kreatinin, rekam EKG) via SatuSehat Kemenkes untuk validasi klaim fiktif secara presisi.</w:t>
      </w:r>
    </w:p>
    <w:p>
      <w:pPr>
        <w:pStyle w:val="Heading1"/>
      </w:pPr>
      <w:r>
        <w:t>Bagian 4: Pendekatan Teknis &amp; Data (Visualisasi)</w:t>
      </w:r>
    </w:p>
    <w:p>
      <w:pPr>
        <w:pStyle w:val="Heading2"/>
      </w:pPr>
      <w:r>
        <w:t>A. Sumber dan Karakteristik Data (The Golden Dataset)</w:t>
      </w:r>
    </w:p>
    <w:p>
      <w:r>
        <w:t>Dalam membangun fondasi analitik yang kokoh, GARDA-JKN mengintegrasikan data operasional resmi BPJS Kesehatan yang mencakup aspek administratif, finansial, dan klinis. Penggabungan tabel relasional ini dirancang khusus untuk membedah korelasi antara tarif klaim dengan riwayat medis pasien:</w:t>
      </w:r>
    </w:p>
    <w:p>
      <w:r>
        <w:t>• Sumber Data Empiris: Menggabungkan data kunjungan FKRTL (202403_fkrtl.dta) untuk variabel biaya dan Length of Stay, dengan data diagnosis sekunder (202405_diagnosissekunder.dta) berbasis nomor kunjungan (FKL02) guna memvalidasi komorbiditas penyerta.</w:t>
      </w:r>
    </w:p>
    <w:p>
      <w:r>
        <w:t>• Strategi Stratified Sampling (5.000 Klaim): Dari total populasi ~4 juta baris klaim, kami mengekstrak 5.000 sampel representatif (The Golden Dataset). Langkah metodologis ini diambil untuk merepresentasikan proporsi seimbang Rumah Sakit Kelas A, B, C, dan D serta menghindari jebakan extreme class imbalance (bias terhadap klaim normal).</w:t>
      </w:r>
    </w:p>
    <w:p>
      <w:pPr>
        <w:pStyle w:val="Heading2"/>
      </w:pPr>
      <w:r>
        <w:t>B. Metode Pelabelan AI (Semi-Supervised Learning) &amp; Validasi Outlier</w:t>
      </w:r>
    </w:p>
    <w:p>
      <w:r>
        <w:t>Tantangan mendasar dalam mendeteksi fraud klaim kesehatan di Indonesia adalah ketiadaan label biner (ground-truth fraud) pada data mentah operasional BPJS. Untuk memecahkan kendala ini secara objektif tanpa pelabelan manual yang subjektif, GARDA-JKN mengadopsi paradigma Semi-Supervised Learning dengan mengimplementasikan algoritma Stratified Isolation Forest. Algoritma ini membandingkan deviasi klaim hanya terhadap kelompok rekanan faskes yang setara (peer-group comparison):</w:t>
      </w:r>
    </w:p>
    <w:p>
      <w:pPr>
        <w:jc w:val="center"/>
      </w:pPr>
      <w:r>
        <w:drawing>
          <wp:inline xmlns:a="http://schemas.openxmlformats.org/drawingml/2006/main" xmlns:pic="http://schemas.openxmlformats.org/drawingml/2006/picture">
            <wp:extent cx="4114800" cy="2468880"/>
            <wp:docPr id="2" name="Picture 2"/>
            <wp:cNvGraphicFramePr>
              <a:graphicFrameLocks noChangeAspect="1"/>
            </wp:cNvGraphicFramePr>
            <a:graphic>
              <a:graphicData uri="http://schemas.openxmlformats.org/drawingml/2006/picture">
                <pic:pic>
                  <pic:nvPicPr>
                    <pic:cNvPr id="0" name="plot_eda_distribution.png"/>
                    <pic:cNvPicPr/>
                  </pic:nvPicPr>
                  <pic:blipFill>
                    <a:blip r:embed="rId10"/>
                    <a:stretch>
                      <a:fillRect/>
                    </a:stretch>
                  </pic:blipFill>
                  <pic:spPr>
                    <a:xfrm>
                      <a:off x="0" y="0"/>
                      <a:ext cx="4114800" cy="2468880"/>
                    </a:xfrm>
                    <a:prstGeom prst="rect"/>
                  </pic:spPr>
                </pic:pic>
              </a:graphicData>
            </a:graphic>
          </wp:inline>
        </w:drawing>
      </w:r>
    </w:p>
    <w:p>
      <w:r>
        <w:t>Berdasarkan visualisasi grafik di atas, sistem berhasil mengklasifikasikan 5.000 klaim mentah ke dalam dua klaster terukur:</w:t>
      </w:r>
    </w:p>
    <w:p>
      <w:r>
        <w:t>• Klaster Inlier (Klaim Normal - 93,0%): Sebanyak 4.651 klaim terkonfirmasi memiliki pola biaya dan durasi rawat yang wajar serta selaras dengan pedoman klinis.</w:t>
      </w:r>
    </w:p>
    <w:p>
      <w:r>
        <w:t>• Klaster Outlier (Indikasi Fraud - 7,0%): Sebanyak 349 klaim berhasil diisolasi sebagai anomali statistik berisiko tinggi yang menjadi target prioritas verifikasi.</w:t>
      </w:r>
    </w:p>
    <w:p>
      <w:r>
        <w:t>• Validasi Realitas Empiris: Rasio temuan anomali sebesar 7,0% ini sangat presisi dan konsisten dengan hasil audit KPK dan Kemenkes (2024) yang menaksir kebocoran dana JKN akibat fraud berada pada rentang 5% hingga 10% per tahun.</w:t>
      </w:r>
    </w:p>
    <w:p>
      <w:pPr>
        <w:pStyle w:val="Heading2"/>
      </w:pPr>
      <w:r>
        <w:t>C. Bobot Fitur Kritis &amp; Interpretabilitas Model (Explainable AI - SHAP)</w:t>
      </w:r>
    </w:p>
    <w:p>
      <w:r>
        <w:t>Guna menjamin akuntabilitas hukum dan mencegah fenomena "Black-Box AI", model Balanced Bagging XGBoost yang dilatih di atas label anomali tersebut dilengkapi dengan modul interpretabilitas SHAP (SHapley Additive exPlanations). Pendekatan ini memungkinkan dokter verifikator memahami persis variabel apa yang memicu kecurigaan sistem:</w:t>
      </w:r>
    </w:p>
    <w:p>
      <w:pPr>
        <w:jc w:val="center"/>
      </w:pPr>
      <w:r>
        <w:drawing>
          <wp:inline xmlns:a="http://schemas.openxmlformats.org/drawingml/2006/main" xmlns:pic="http://schemas.openxmlformats.org/drawingml/2006/picture">
            <wp:extent cx="4114800" cy="2468880"/>
            <wp:docPr id="3" name="Picture 3"/>
            <wp:cNvGraphicFramePr>
              <a:graphicFrameLocks noChangeAspect="1"/>
            </wp:cNvGraphicFramePr>
            <a:graphic>
              <a:graphicData uri="http://schemas.openxmlformats.org/drawingml/2006/picture">
                <pic:pic>
                  <pic:nvPicPr>
                    <pic:cNvPr id="0" name="plot_feature_importance.png"/>
                    <pic:cNvPicPr/>
                  </pic:nvPicPr>
                  <pic:blipFill>
                    <a:blip r:embed="rId11"/>
                    <a:stretch>
                      <a:fillRect/>
                    </a:stretch>
                  </pic:blipFill>
                  <pic:spPr>
                    <a:xfrm>
                      <a:off x="0" y="0"/>
                      <a:ext cx="4114800" cy="2468880"/>
                    </a:xfrm>
                    <a:prstGeom prst="rect"/>
                  </pic:spPr>
                </pic:pic>
              </a:graphicData>
            </a:graphic>
          </wp:inline>
        </w:drawing>
      </w:r>
    </w:p>
    <w:p>
      <w:r>
        <w:t>Berdasarkan grafik feature importance SHAP, tiga pemicu utama anomali berkorelasi kuat dengan tipologi fraud di rumah sakit:</w:t>
      </w:r>
    </w:p>
    <w:p>
      <w:r>
        <w:t>• Biaya Tagih Per Hari (Indikasi Phantom Billing): Deteksi lonjakan tagihan tanpa adanya penambahan hari rawat atau prosedur invasif yang rasional.</w:t>
      </w:r>
    </w:p>
    <w:p>
      <w:r>
        <w:t>• Durasi Rawat Inap / LOS (Indikasi Manipulasi Hari Rawat): Hari rawat yang melampaui batas deviasi standar klinis PNPK demi menggelembungkan klaim.</w:t>
      </w:r>
    </w:p>
    <w:p>
      <w:r>
        <w:t>• Diskrepansi Severity Level (Indikasi Upcoding): Pengajuan klaim tingkat keparahan tinggi (Severity III) yang diajukan tanpa adanya bukti diagnosis sekunder yang sah.</w:t>
      </w:r>
    </w:p>
    <w:p>
      <w:pPr>
        <w:pStyle w:val="Heading1"/>
      </w:pPr>
      <w:r>
        <w:t>Bagian 5: Tingkat Kematangan, Prototype &amp; Bukti Evaluasi (MVP)</w:t>
      </w:r>
    </w:p>
    <w:p>
      <w:pPr>
        <w:pStyle w:val="Heading2"/>
      </w:pPr>
      <w:r>
        <w:t>A. Status Kematangan Sistem (Minimum Viable Product - End-to-End Functional)</w:t>
      </w:r>
    </w:p>
    <w:p>
      <w:r>
        <w:t>Sistem GARDA-JKN telah melewati fase konseptual awal dan saat ini berstatus Minimum Viable Product (MVP) fungsional penuh (Tingkat Kesiapterapan Teknologi / TRL 6–7). Seluruh subsistem—mulai dari Intake &amp; Security Guardrail, Mesin Skrining XGBoost (Lapis 1), Qdrant Vector Knowledge Base (Lapis 2), LangGraph Clinical Arbiter (Lapis 3), hingga Antarmuka Dasbor Verifikator Next.js—telah terhubung secara end-to-end melalui protokol REST API asynchronous dan Server-Sent Events (SSE):</w:t>
      </w:r>
    </w:p>
    <w:p>
      <w:r>
        <w:t>• Kesiapan Sistem (TRL 6–7): Solusi telah berfungsi utuh sebagai platform end-to-end fungsional yang mampu memproses klaim mentah rumah sakit hingga menghasilkan penetapan Berita Acara resmi.</w:t>
      </w:r>
    </w:p>
    <w:p>
      <w:r>
        <w:t>• Arsitektur Terintegrasi &amp; Asynchronous: Backend FastAPI dan Frontend Next.js berkomunikasi melalui microservice decoupled dengan dukungan real-time streaming event (SSE).</w:t>
      </w:r>
    </w:p>
    <w:p>
      <w:r>
        <w:t>• Eksekusi Deterministik &amp; Auditabel: Seluruh orkestrasi multi-tahap dikendalikan oleh LangGraph StateGraph guna menjamin eksekusi yang patuh regulasi tanpa risiko infinite loop.</w:t>
      </w:r>
    </w:p>
    <w:p>
      <w:pPr>
        <w:pStyle w:val="Heading2"/>
      </w:pPr>
      <w:r>
        <w:t>B. Bukti Kinerja Klasifikasi Machine Learning (Lapis 1)</w:t>
      </w:r>
    </w:p>
    <w:p>
      <w:r>
        <w:t>Untuk memvalidasi keandalan Lapis 1 dalam menyaring anomali berkecepatan tinggi, model Balanced Bagging XGBoost dan Stratified Isolation Forest diuji secara komprehensif menggunakan The Golden Dataset (5.000 data klaim historis riil). Evaluasi difokuskan pada metrik ketahanan data tidak seimbang (imbalanced data metrics) guna memastikan sensitivitas deteksi kecurangan:</w:t>
      </w:r>
    </w:p>
    <w:p>
      <w:r>
        <w:t>• Skala Pengujian Empiris: 5.000 data historis klaim riil BPJS Kesehatan yang mencakup representasi berimbang Rumah Sakit Kelas A, B, C, dan D.</w:t>
      </w:r>
    </w:p>
    <w:p>
      <w:r>
        <w:t>• Area Under Precision-Recall Curve (PR-AUC: 0.9958): Skor PR-AUC dan Average Precision mencapai 0.9958, membuktikan presisi diskriminasi yang luar biasa pada kasus anomali minoritas.</w:t>
      </w:r>
    </w:p>
    <w:p>
      <w:r>
        <w:t>• Area Under ROC Curve (ROC-AUC: 0.9996): Membuktikan separasi sempurna antara klaim wajar dan klaim anomali tanpa risiko tumpang-tindih klasifikasi.</w:t>
      </w:r>
    </w:p>
    <w:p>
      <w:r>
        <w:t>• Kinerja Kelas Fraud (F1-Score: 97,14%): Model mencatatkan Precision 97,14% dan Recall 97,14% pada kelas fraud, memastikan klaim manipulatif terisolasi secara efektif.</w:t>
      </w:r>
    </w:p>
    <w:p>
      <w:r>
        <w:t>• Operational Hit Rate (Precision@100: 70,0%): Dari 100 klaim teratas dengan skor anomali tertinggi, 70 klaim terkonfirmasi nyata memuat fraud saat diaudit.</w:t>
      </w:r>
    </w:p>
    <w:p>
      <w:r>
        <w:t>• Kecepatan Inferensi Skrining (&lt; 100 milidetik): Waktu komputasi klasifikasi Lapis 1 berlangsung instan, siap menangani ribuan klaim per detik.</w:t>
      </w:r>
    </w:p>
    <w:p>
      <w:r>
        <w:t>Berikut adalah visualisasi Matriks Kebingungan (Confusion Matrix) dan Kurva ROC Lapis 1:</w:t>
      </w:r>
    </w:p>
    <w:p>
      <w:pPr>
        <w:jc w:val="center"/>
      </w:pPr>
      <w:r>
        <w:drawing>
          <wp:inline xmlns:a="http://schemas.openxmlformats.org/drawingml/2006/main" xmlns:pic="http://schemas.openxmlformats.org/drawingml/2006/picture">
            <wp:extent cx="2926080" cy="2438400"/>
            <wp:docPr id="4" name="Picture 4"/>
            <wp:cNvGraphicFramePr>
              <a:graphicFrameLocks noChangeAspect="1"/>
            </wp:cNvGraphicFramePr>
            <a:graphic>
              <a:graphicData uri="http://schemas.openxmlformats.org/drawingml/2006/picture">
                <pic:pic>
                  <pic:nvPicPr>
                    <pic:cNvPr id="0" name="plot_confusion_matrix.png"/>
                    <pic:cNvPicPr/>
                  </pic:nvPicPr>
                  <pic:blipFill>
                    <a:blip r:embed="rId12"/>
                    <a:stretch>
                      <a:fillRect/>
                    </a:stretch>
                  </pic:blipFill>
                  <pic:spPr>
                    <a:xfrm>
                      <a:off x="0" y="0"/>
                      <a:ext cx="2926080" cy="2438400"/>
                    </a:xfrm>
                    <a:prstGeom prst="rect"/>
                  </pic:spPr>
                </pic:pic>
              </a:graphicData>
            </a:graphic>
          </wp:inline>
        </w:drawing>
      </w:r>
    </w:p>
    <w:p>
      <w:pPr>
        <w:jc w:val="center"/>
      </w:pPr>
      <w:r>
        <w:drawing>
          <wp:inline xmlns:a="http://schemas.openxmlformats.org/drawingml/2006/main" xmlns:pic="http://schemas.openxmlformats.org/drawingml/2006/picture">
            <wp:extent cx="3840480" cy="2880360"/>
            <wp:docPr id="5" name="Picture 5"/>
            <wp:cNvGraphicFramePr>
              <a:graphicFrameLocks noChangeAspect="1"/>
            </wp:cNvGraphicFramePr>
            <a:graphic>
              <a:graphicData uri="http://schemas.openxmlformats.org/drawingml/2006/picture">
                <pic:pic>
                  <pic:nvPicPr>
                    <pic:cNvPr id="0" name="plot_roc_curve.png"/>
                    <pic:cNvPicPr/>
                  </pic:nvPicPr>
                  <pic:blipFill>
                    <a:blip r:embed="rId13"/>
                    <a:stretch>
                      <a:fillRect/>
                    </a:stretch>
                  </pic:blipFill>
                  <pic:spPr>
                    <a:xfrm>
                      <a:off x="0" y="0"/>
                      <a:ext cx="3840480" cy="2880360"/>
                    </a:xfrm>
                    <a:prstGeom prst="rect"/>
                  </pic:spPr>
                </pic:pic>
              </a:graphicData>
            </a:graphic>
          </wp:inline>
        </w:drawing>
      </w:r>
    </w:p>
    <w:p>
      <w:r>
        <w:t>Visualisasi Confusion Matrix di atas membuktikan bahwa tingkat False Positive (salah menuduh klaim jujur sebagai fraud) ditekan hingga batas minimal. Hal ini menjamin kelancaran arus kas rumah sakit yang patuh. Kurva ROC yang menempel di batas kiri-atas menegaskan stabilitas generalisasi model di berbagai skenario pembiayaan.</w:t>
      </w:r>
    </w:p>
    <w:p>
      <w:pPr>
        <w:pStyle w:val="Heading2"/>
      </w:pPr>
      <w:r>
        <w:t>C. Bukti Evaluasi Penalaran Agentic AI &amp; Anti-Halusinasi (Lapis 2 &amp; 3 - LLMOps DeepEval)</w:t>
      </w:r>
    </w:p>
    <w:p>
      <w:r>
        <w:t>Berbeda dengan implementasi chatbot generik yang rentan mengarang informasi, GARDA-JKN menerapkan framework evaluasi otomatis berstandar industri (DeepEval) untuk mengaudit kebenaran penalaran medis Lapis 2 &amp; 3 berdasarkan kaidah RAG Triad. Hasil evaluasi benchmarking membuktikan kepatuhan klinis mutlak:</w:t>
      </w:r>
    </w:p>
    <w:p>
      <w:r>
        <w:t>• Faithfulness Score (1.00 / 100,0% - Sempurna): Seluruh fakta klinis dan pasal rujukan dalam Berita Acara yang diterbitkan LLM 100% bersumber langsung dari dokumen PNPK Kemenkes RI yang sah (Zero-Hallucination).</w:t>
      </w:r>
    </w:p>
    <w:p>
      <w:r>
        <w:t>• Answer Relevancy Score (1.00 / 100,0% - Sempurna): Seluruh resume adjudikasi 100% relevan, koheren, dan fokus menjawab anomali diagnosis serta tindakan klaim pasien.</w:t>
      </w:r>
    </w:p>
    <w:p>
      <w:r>
        <w:t>• Ketahanan Sistem (High-Reliability Fallback): Dilengkapi mekanisme parser deterministik berbasis Regular Expressions untuk menjamin penerbitan draf putusan resmi tetap berjalan jika terjadi kendala koneksi API LLM eksternal.</w:t>
      </w:r>
    </w:p>
    <w:p>
      <w:pPr>
        <w:jc w:val="center"/>
      </w:pPr>
      <w:r>
        <w:drawing>
          <wp:inline xmlns:a="http://schemas.openxmlformats.org/drawingml/2006/main" xmlns:pic="http://schemas.openxmlformats.org/drawingml/2006/picture">
            <wp:extent cx="4389120" cy="2508069"/>
            <wp:docPr id="6" name="Picture 6"/>
            <wp:cNvGraphicFramePr>
              <a:graphicFrameLocks noChangeAspect="1"/>
            </wp:cNvGraphicFramePr>
            <a:graphic>
              <a:graphicData uri="http://schemas.openxmlformats.org/drawingml/2006/picture">
                <pic:pic>
                  <pic:nvPicPr>
                    <pic:cNvPr id="0" name="plot_ai_evaluation.png"/>
                    <pic:cNvPicPr/>
                  </pic:nvPicPr>
                  <pic:blipFill>
                    <a:blip r:embed="rId14"/>
                    <a:stretch>
                      <a:fillRect/>
                    </a:stretch>
                  </pic:blipFill>
                  <pic:spPr>
                    <a:xfrm>
                      <a:off x="0" y="0"/>
                      <a:ext cx="4389120" cy="2508069"/>
                    </a:xfrm>
                    <a:prstGeom prst="rect"/>
                  </pic:spPr>
                </pic:pic>
              </a:graphicData>
            </a:graphic>
          </wp:inline>
        </w:drawing>
      </w:r>
    </w:p>
    <w:p>
      <w:r>
        <w:t>Capaian skor sempurna (100%) pada metrik Faithfulness dan Answer Relevancy memberikan garansi medikolegal bagi manajemen BPJS Kesehatan bahwa sistem kami tidak akan pernah mengarang aturan medis fiktif yang dapat merugikan pasien maupun faskes.</w:t>
      </w:r>
    </w:p>
    <w:p>
      <w:pPr>
        <w:pStyle w:val="Heading2"/>
      </w:pPr>
      <w:r>
        <w:t>D. Bukti Integrasi Antarmuka &amp; Uji End-to-End (Next.js VClaim UI &amp; Playwright Testing)</w:t>
      </w:r>
    </w:p>
    <w:p>
      <w:r>
        <w:t>Untuk menjamin kemudahan adopsi oleh verifikator medis BPJS di lapangan, GARDA-JKN mengusung filosofi Human-in-the-Loop yang diwujudkan dalam antarmuka berbasis web modern (Next.js &amp; Tailwind CSS). Seluruh interaksi antarmuka telah diverifikasi menggunakan pengujian otomatis End-to-End Playwright Testing:</w:t>
      </w:r>
    </w:p>
    <w:p>
      <w:r>
        <w:t>• Pengujian Otomatis End-to-End (Playwright MCP): Seluruh simulasi klaim—mulai dari input payload, transmisi API, eksekusi state machine, hingga rendering keputusan di peramban—lulus 100% tanpa kendala CORS atau network blocking.</w:t>
      </w:r>
    </w:p>
    <w:p>
      <w:r>
        <w:t>• Dasbor Verifikator Interaktif (Human-in-the-Loop): Menampilkan ringkasan audit SHAP, dasar hukum PNPK, dan tombol tindakan penetapan putusan hukum (Setujui / Downgrade / Tolak) yang berada di bawah kendali penuh dokter verifikator.</w:t>
      </w:r>
    </w:p>
    <w:p>
      <w:r>
        <w:t>• Konsol Real-Time Berbasis SSE: Memungkinkan verifikator memantau tahapan audit sistem secara seketika (live-streaming) dengan latensi pemrosesan total di bawah 10 detik per klaim.</w:t>
      </w:r>
    </w:p>
    <w:p>
      <w:pPr>
        <w:jc w:val="center"/>
      </w:pPr>
      <w:r>
        <w:drawing>
          <wp:inline xmlns:a="http://schemas.openxmlformats.org/drawingml/2006/main" xmlns:pic="http://schemas.openxmlformats.org/drawingml/2006/picture">
            <wp:extent cx="4389120" cy="9275064"/>
            <wp:docPr id="7" name="Picture 7"/>
            <wp:cNvGraphicFramePr>
              <a:graphicFrameLocks noChangeAspect="1"/>
            </wp:cNvGraphicFramePr>
            <a:graphic>
              <a:graphicData uri="http://schemas.openxmlformats.org/drawingml/2006/picture">
                <pic:pic>
                  <pic:nvPicPr>
                    <pic:cNvPr id="0" name="plot_ui_frontend.png"/>
                    <pic:cNvPicPr/>
                  </pic:nvPicPr>
                  <pic:blipFill>
                    <a:blip r:embed="rId15"/>
                    <a:stretch>
                      <a:fillRect/>
                    </a:stretch>
                  </pic:blipFill>
                  <pic:spPr>
                    <a:xfrm>
                      <a:off x="0" y="0"/>
                      <a:ext cx="4389120" cy="9275064"/>
                    </a:xfrm>
                    <a:prstGeom prst="rect"/>
                  </pic:spPr>
                </pic:pic>
              </a:graphicData>
            </a:graphic>
          </wp:inline>
        </w:drawing>
      </w:r>
    </w:p>
    <w:p>
      <w:r>
        <w:t>Bukti tangkapan layar di atas memperlihatkan antarmuka dasbor verifikator yang telah teruji secara live. Desain yang menyerupai SIMRS VClaim eksisting memastikan proses transisi dan adaptasi petugas BPJS dapat berlangsung mulus tanpa friksi operasional.</w:t>
      </w:r>
    </w:p>
    <w:p>
      <w:pPr>
        <w:pStyle w:val="Heading1"/>
      </w:pPr>
      <w:r>
        <w:t>Bagian 6: Rencana &amp; Model Bisnis (VHDIC Canvas)</w:t>
      </w:r>
    </w:p>
    <w:p>
      <w:r>
        <w:t>Guna memastikan keberlanjutan, kepatuhan regulasi, dan skalabilitas adopsi di ekosistem kesehatan nasional, perancangan GARDA-JKN dipetakan secara holistik menggunakan kerangka VHDIC Canvas (Value, Health Governance, Discovery, Design, dan Delivery):</w:t>
      </w:r>
    </w:p>
    <w:p>
      <w:pPr>
        <w:pStyle w:val="Heading2"/>
      </w:pPr>
      <w:r>
        <w:t>A. Pilar Value (Dampak Nilai 5-Dimensi Kesehatan)</w:t>
      </w:r>
    </w:p>
    <w:p>
      <w:r>
        <w:t>Pilar Nilai memetakan bagaimana solusi GARDA-JKN menghadirkan manfaat transformatif lintas dimensi pemangku kepentingan dalam ekosistem jaminan kesehatan:</w:t>
      </w:r>
    </w:p>
    <w:p>
      <w:r>
        <w:t>• Equity (Ekuitas Layanan): Mencegah diskriminasi terhadap rumah sakit tipe kecil (Kelas C/D dan faskes daerah 3T) melalui mekanisme Stratified Isolation Forest yang mengevaluasi klaim hanya terhadap kelompok rekanan faskes yang setara (peer-group), bukan disamaratakan dengan RS metropolitan.</w:t>
      </w:r>
    </w:p>
    <w:p>
      <w:r>
        <w:t>• Population Health (Dampak Populasi): Menjaga solvabilitas dan keberlanjutan jangka panjang Dana Jaminan Sosial (DJS) Kesehatan agar tetap mampu menopang Universal Health Coverage bagi 270+ juta rakyat Indonesia.</w:t>
      </w:r>
    </w:p>
    <w:p>
      <w:r>
        <w:t>• Patient Value (Perlindungan Pasien): Melindungi hak medis pasien dari praktik terapi berlebihan (over-treatment) atau tindakan invasif fiktif, serta mencegah hangusnya kuota/plafon manfaat biaya akibat manipulasi koding.</w:t>
      </w:r>
    </w:p>
    <w:p>
      <w:r>
        <w:t>• Provider Value (Kelancaran Faskes): Mempercepat arus kas (cash flow) faskes yang jujur, di mana klaim bersih (Inlier wajar) langsung diproses Auto-Approval dalam hitungan detik tanpa tertahan antrean audit manual.</w:t>
      </w:r>
    </w:p>
    <w:p>
      <w:r>
        <w:t>• Cost Efficiency (Efisiensi Finansial): Menekan beban operasional audit manual BPJS, meminimalisir sengketa biaya (dispute klaim), dan menutup celah kebocoran dana secara pre-payment.</w:t>
      </w:r>
    </w:p>
    <w:p>
      <w:pPr>
        <w:pStyle w:val="Heading2"/>
      </w:pPr>
      <w:r>
        <w:t>B. Pilar Health Governance (Tata Kelola Regulasi, Klinis &amp; Data)</w:t>
      </w:r>
    </w:p>
    <w:p>
      <w:r>
        <w:t>Tata kelola GARDA-JKN dirancang dengan standar kepatuhan hukum dan etika medis tertinggi untuk menjamin legitimasi setiap putusan adjudikasi:</w:t>
      </w:r>
    </w:p>
    <w:p>
      <w:r>
        <w:t>• Kepatuhan Regulasi (Regulatory Governance): Patuh penuh pada Permenkes No. 16/2019 tentang Pencegahan Fraud JKN, Permenkes No. 26/2021 (Pedoman INA-CBG), UU Kesehatan No. 17/2023, dan standar audit klaim BPJS Kesehatan.</w:t>
      </w:r>
    </w:p>
    <w:p>
      <w:r>
        <w:t>• Tata Kelola Klinis (Clinical Governance): Bersandar mutlak pada Pedoman Nasional Pelayanan Kedokteran (PNPK) Kemenkes RI, KMK Pedoman Praktik Klinis, dan konsensus profesi medis (KDIGO, PERKI, PAPDI).</w:t>
      </w:r>
    </w:p>
    <w:p>
      <w:r>
        <w:t>• Tata Kelola Data &amp; Privasi (Data Governance): Implementasi Zero-Knowledge Privacy Masking yang patuh UU PDP No. 27/2022. Identitas NIK dan nama pasien disensor otomatis sebelum diproses model, didukung enkripsi data berstandar AES-256.</w:t>
      </w:r>
    </w:p>
    <w:p>
      <w:r>
        <w:t>• Tata Kelola Teknologi (Technical Governance): Orkestrasi deterministik berbasis LangGraph StateGraph (bebas infinite loop), Model Registry versi terkelola, audit trail TreeSHAP, dan modul pertahanan Prompt Injection Guardrail.</w:t>
      </w:r>
    </w:p>
    <w:p>
      <w:pPr>
        <w:pStyle w:val="Heading2"/>
      </w:pPr>
      <w:r>
        <w:t>C. Pilar Discovery (Tantangan Masalah &amp; Pemangku Kepentingan)</w:t>
      </w:r>
    </w:p>
    <w:p>
      <w:r>
        <w:t>Pilar Penemuan mengidentifikasi akar permasalahan di lapangan serta memetakan entitas pengguna yang berinteraksi langsung dengan solusi:</w:t>
      </w:r>
    </w:p>
    <w:p>
      <w:r>
        <w:t>• Tantangan Utama (Challenge): Kebocoran dana JKN sebesar 5%–10% (Rp10–15 Triliun per tahun) akibat Upcoding, Phantom Billing, dan Readmisi, diperparah beban kerja verifikator 8–12 juta klaim per bulan dengan batas SLA 15 hari.</w:t>
      </w:r>
    </w:p>
    <w:p>
      <w:r>
        <w:t>• Pengguna Inti (Users): Dokter Verifikator Medis BPJS Kesehatan di Kantor Cabang/Kedeputian Wilayah, Tim Kendali Mutu dan Kendali Biaya (TKMKB), serta Tim Pencegahan Kecurangan internal Rumah Sakit.</w:t>
      </w:r>
    </w:p>
    <w:p>
      <w:r>
        <w:t>• Pemangku Kepentingan (Stakeholders): Direksi dan Dewan Pengawas BPJS Kesehatan, Kementerian Kesehatan RI, KPK, BPK, Asosiasi Rumah Sakit (PERSI), organisasi profesi dokter, dan seluruh rakyat peserta JKN.</w:t>
      </w:r>
    </w:p>
    <w:p>
      <w:pPr>
        <w:pStyle w:val="Heading2"/>
      </w:pPr>
      <w:r>
        <w:t>D. Pilar Design (Arsitektur Solusi &amp; Interoperabilitas)</w:t>
      </w:r>
    </w:p>
    <w:p>
      <w:r>
        <w:t>Rancang bangun sistem mengedepankan arsitektur modular yang adaptif terhadap infrastruktur teknologi informasi kesehatan nasional:</w:t>
      </w:r>
    </w:p>
    <w:p>
      <w:r>
        <w:t>• Arsitektur Microservice 3-Lapis: Pemisahan tugas berjenjang yang mencakup Skrining Cepat XGBoost (Lapis 1), Mesin Vektor Qdrant RAG (Lapis 2), dan LangGraph Clinical Arbiter LLM (Lapis 3).</w:t>
      </w:r>
    </w:p>
    <w:p>
      <w:r>
        <w:t>• Desain Pengalaman Pengguna (UX Design): Dasbor Next.js modern yang mengadopsi alur SIMRS VClaim eksisting, dilengkapi transparansi TreeSHAP, sitasi regulasi PNPK, dan tombol putusan interaktif Human-in-the-Loop via SSE.</w:t>
      </w:r>
    </w:p>
    <w:p>
      <w:r>
        <w:t>• Desain Integrasi (Interoperability): Komunikasi melalui RESTful API asynchronous yang siap dihubungkan (bridging) langsung dengan sistem V-Claim, E-Klaim INA-CBG, dan Rekam Medis Elektronik (RME) berstandar HL7 FHIR.</w:t>
      </w:r>
    </w:p>
    <w:p>
      <w:pPr>
        <w:pStyle w:val="Heading2"/>
      </w:pPr>
      <w:r>
        <w:t>E. Pilar Delivery (Validasi Bukti, Skalabilitas &amp; Model Bisnis)</w:t>
      </w:r>
    </w:p>
    <w:p>
      <w:r>
        <w:t>Strategi implementasi memadukan bukti empiris yang teruji dengan model keberlanjutan finansial yang sangat efisien bagi BPJS Kesehatan:</w:t>
      </w:r>
    </w:p>
    <w:p>
      <w:r>
        <w:t>• Bukti Validasi Kematangan (Evidence): Teruji pada 5.000 klaim historis dengan PR-AUC 0.9958, ROC-AUC 0.9996, F1-Score 97,14%, Precision@100 70,0%, serta evaluasi anti-halusinasi DeepEval bernilai sempurna 100%.</w:t>
      </w:r>
    </w:p>
    <w:p>
      <w:r>
        <w:t>• Rencana Skalabilitas (Scale): Peta jalan 3 fase yang terukur: Fase 1 (Simulasi lingkungan tertutup), Fase 2 (Pilot implementasi live-shadowing di RS Rujukan Tipe A), dan Fase 3 (Deployment skala nasional di seluruh Kedeputian Wilayah BPJS).</w:t>
      </w:r>
    </w:p>
    <w:p>
      <w:r>
        <w:t>• Model Bisnis Berbasis Penghematan (Value-Based Cost Saving): Dengan estimasi biaya komputasi server cloud yang sangat minim (&lt; Rp100 juta/tahun), keberhasilan GARDA-JKN dalam mencegah 1% saja dari total potensi fraud nasional berpotensi menghemat kas negara sebesar Rp100 hingga Rp150 Miliar per tahun (Return on Investment / ROI ekstrem positif).</w:t>
      </w:r>
    </w:p>
    <w:p>
      <w:pPr>
        <w:pStyle w:val="Heading1"/>
      </w:pPr>
      <w:r>
        <w:t>Bagian 7: Dampak &amp; Nilai Transformasi</w:t>
      </w:r>
    </w:p>
    <w:p>
      <w:r>
        <w:t>Implementasi GARDA-JKN membawa dampak transformatif yang fundamental pada ekosistem Jaminan Kesehatan Nasional, mengubah paradigma verifikasi klaim dari proses administratif manual yang melelahkan menjadi ekosistem audit cerdas berbasis bukti klinis:</w:t>
      </w:r>
    </w:p>
    <w:p>
      <w:pPr>
        <w:pStyle w:val="Heading2"/>
      </w:pPr>
      <w:r>
        <w:t>A. Transformasi SDM Verifikator (Dari Pekerja Klerikal Menjadi Medical Investigator)</w:t>
      </w:r>
    </w:p>
    <w:p>
      <w:r>
        <w:t>Saat ini, sekitar 1.500 hingga 2.000 staf verifikator BPJS Kesehatan di seluruh Indonesia menanggung beban kerja kognitif yang ekstrem, di mana satu orang verifikator rata-rata harus meneliti 3.500 hingga 5.000+ berkas klaim per bulan. Keterbatasan waktu memaksa mereka terjebak dalam pekerjaan klerikal mekanis (mencocokkan baris tabel dan berkas PDF secara terburu-buru), yang memicu tingginya risiko kelelahan keputusan (decision fatigue) dan human error.</w:t>
      </w:r>
    </w:p>
    <w:p>
      <w:r>
        <w:t>• Eliminasi Rutinitas Klerikal (70%–80% Auto-Approval): Dengan kemampuan skrining cerdas Lapis 1, klaim bersih yang terbukti wajar langsung diloloskan secara otomatis, membebaskan verifikator dari tugas repetitif bernilai rendah.</w:t>
      </w:r>
    </w:p>
    <w:p>
      <w:r>
        <w:t>• Elevasi Peran Menjadi "Clinical Adjudication Analyst": Verifikator BPJS naik kelas menjadi auditor investigatif tingkat lanjut. Waktu dan keahlian klinis mereka dialokasikan khusus untuk membedah 15%–20% kasus berisiko tinggi (status ESCALATED) yang membutuhkan analisis medikolegal mendalam.</w:t>
      </w:r>
    </w:p>
    <w:p>
      <w:r>
        <w:t>• Pemberdayaan Keputusan (Human-in-the-Loop): Didukung audit trail TreeSHAP dan sitasi pasal PNPK Kemenkes otomatis, dokter verifikator memiliki amunisi bukti yang kuat saat harus melakukan konfirmasi atau pembatalan klaim tanpa rasa ragu.</w:t>
      </w:r>
    </w:p>
    <w:p>
      <w:pPr>
        <w:pStyle w:val="Heading2"/>
      </w:pPr>
      <w:r>
        <w:t>B. Akselerasi Kecepatan Operasional (Kompresi Waktu dari Menit ke Detik)</w:t>
      </w:r>
    </w:p>
    <w:p>
      <w:r>
        <w:t>Berdasarkan studi Time and Motion di berbagai rumah sakit, verifikasi manual satu berkas rawat inap membutuhkan waktu 15 hingga 25 menit. Dengan volume 7 hingga 8,5 juta klaim FKRTL per bulan secara nasional, proses manual menciptakan kemacetan operasional (bottleneck) yang sangat parah.</w:t>
      </w:r>
    </w:p>
    <w:p>
      <w:r>
        <w:t>• Kompresi Waktu Audit (&gt;95% Peningkatan Kecepatan): GARDA-JKN memangkas durasi evaluasi per klaim dari 15–25 menit menjadi di bawah 10 detik per berkas dengan presisi mesin.</w:t>
      </w:r>
    </w:p>
    <w:p>
      <w:r>
        <w:t>• Cakupan Audit Penuh (100% Full-Population Pre-Payment Audit): Beralih dari metode konvensional yang hanya sanggup melakukan uji petik (sampling) 5%–10% berkas pasca-bayar, GARDA-JKN memungkinkan audit menyeluruh pada 100% populasi klaim secara real-time sebelum dana dicairkan.</w:t>
      </w:r>
    </w:p>
    <w:p>
      <w:r>
        <w:t>• Kepatuhan Mutlak Batas Waktu SLA 15 Hari: Menghilangkan risiko keterlambatan pembayaran klaim tanpa membebani verifikator dengan jam lembur berlebih.</w:t>
      </w:r>
    </w:p>
    <w:p>
      <w:pPr>
        <w:pStyle w:val="Heading2"/>
      </w:pPr>
      <w:r>
        <w:t>C. Dampak Multi-Penerima Manfaat (The Tri-Benefit Ecosystem)</w:t>
      </w:r>
    </w:p>
    <w:p>
      <w:r>
        <w:t>GARDA-JKN menciptakan sinergi nilai positif bagi seluruh pilar pemangku kepentingan kesehatan nasional:</w:t>
      </w:r>
    </w:p>
    <w:p>
      <w:r>
        <w:t>• Dampak bagi BPJS Kesehatan: Menutup celah kebocoran anggaran Rp10–15 Triliun per tahun secara pre-payment, menekan potensi defisit Dana Jaminan Sosial (DJS), dan membangun kredibilitas audit yang transparan di hadapan BPK dan KPK.</w:t>
      </w:r>
    </w:p>
    <w:p>
      <w:r>
        <w:t>• Dampak bagi Rumah Sakit / FKRTL: Melindungi likuiditas arus kas faskes (di mana 65%–85% revenue RS bergantung pada klaim BPJS). Klaim bersih cair tepat waktu, menekan dispute klaim dari 10%–15% menjadi &lt;2%, serta membebaskan RS dari beban bunga talangan Supply Chain Financing (SCF) perbankan.</w:t>
      </w:r>
    </w:p>
    <w:p>
      <w:r>
        <w:t>• Dampak bagi Peserta / Masyarakat: Melindungi pasien dari potensi tindakan medis berlebihan (over-treatment) atau prosedur invasif fiktif yang membahayakan keselamatan, serta menjamin kesinambungan hak jaminan kesehatan semesta (UHC) bagi 270+ juta rakyat Indonesia.</w:t>
      </w:r>
    </w:p>
    <w:p>
      <w:pPr>
        <w:pStyle w:val="Heading2"/>
      </w:pPr>
      <w:r>
        <w:t>D. Matriks Komparasi Transformasi: Sebelum vs Sesudah GARDA-JKN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Dimensi Evaluasi</w:t>
            </w:r>
          </w:p>
        </w:tc>
        <w:tc>
          <w:tcPr>
            <w:tcW w:type="dxa" w:w="2880"/>
          </w:tcPr>
          <w:p>
            <w:r>
              <w:t>Sebelum (Metode Manual)</w:t>
            </w:r>
          </w:p>
        </w:tc>
        <w:tc>
          <w:tcPr>
            <w:tcW w:type="dxa" w:w="2880"/>
          </w:tcPr>
          <w:p>
            <w:r>
              <w:t>Sesudah (GARDA-JKN)</w:t>
            </w:r>
          </w:p>
        </w:tc>
      </w:tr>
      <w:tr>
        <w:tc>
          <w:tcPr>
            <w:tcW w:type="dxa" w:w="2880"/>
          </w:tcPr>
          <w:p>
            <w:r>
              <w:t>Waktu Verifikasi Per Berkas</w:t>
            </w:r>
          </w:p>
        </w:tc>
        <w:tc>
          <w:tcPr>
            <w:tcW w:type="dxa" w:w="2880"/>
          </w:tcPr>
          <w:p>
            <w:r>
              <w:t>15 – 25 menit (Rawat Inap)</w:t>
            </w:r>
          </w:p>
        </w:tc>
        <w:tc>
          <w:tcPr>
            <w:tcW w:type="dxa" w:w="2880"/>
          </w:tcPr>
          <w:p>
            <w:r>
              <w:t>Di bawah 10 detik per berkas</w:t>
            </w:r>
          </w:p>
        </w:tc>
      </w:tr>
      <w:tr>
        <w:tc>
          <w:tcPr>
            <w:tcW w:type="dxa" w:w="2880"/>
          </w:tcPr>
          <w:p>
            <w:r>
              <w:t>Cakupan Audit Klaim</w:t>
            </w:r>
          </w:p>
        </w:tc>
        <w:tc>
          <w:tcPr>
            <w:tcW w:type="dxa" w:w="2880"/>
          </w:tcPr>
          <w:p>
            <w:r>
              <w:t>Sampling 5% – 10% berkas</w:t>
            </w:r>
          </w:p>
        </w:tc>
        <w:tc>
          <w:tcPr>
            <w:tcW w:type="dxa" w:w="2880"/>
          </w:tcPr>
          <w:p>
            <w:r>
              <w:t>100% Populasi Klaim (Pre-Payment)</w:t>
            </w:r>
          </w:p>
        </w:tc>
      </w:tr>
      <w:tr>
        <w:tc>
          <w:tcPr>
            <w:tcW w:type="dxa" w:w="2880"/>
          </w:tcPr>
          <w:p>
            <w:r>
              <w:t>Rasio Sengketa / Dispute Klaim</w:t>
            </w:r>
          </w:p>
        </w:tc>
        <w:tc>
          <w:tcPr>
            <w:tcW w:type="dxa" w:w="2880"/>
          </w:tcPr>
          <w:p>
            <w:r>
              <w:t>Tinggi (10% – 15% tertahan)</w:t>
            </w:r>
          </w:p>
        </w:tc>
        <w:tc>
          <w:tcPr>
            <w:tcW w:type="dxa" w:w="2880"/>
          </w:tcPr>
          <w:p>
            <w:r>
              <w:t>Sangat Rendah (&lt; 2% terisolasi)</w:t>
            </w:r>
          </w:p>
        </w:tc>
      </w:tr>
      <w:tr>
        <w:tc>
          <w:tcPr>
            <w:tcW w:type="dxa" w:w="2880"/>
          </w:tcPr>
          <w:p>
            <w:r>
              <w:t>Beban Kerja Verifikator</w:t>
            </w:r>
          </w:p>
        </w:tc>
        <w:tc>
          <w:tcPr>
            <w:tcW w:type="dxa" w:w="2880"/>
          </w:tcPr>
          <w:p>
            <w:r>
              <w:t>Klerikal mekanis (3.500+ klaim/bulan)</w:t>
            </w:r>
          </w:p>
        </w:tc>
        <w:tc>
          <w:tcPr>
            <w:tcW w:type="dxa" w:w="2880"/>
          </w:tcPr>
          <w:p>
            <w:r>
              <w:t>Auditor Klinis Kasus Kompleks</w:t>
            </w:r>
          </w:p>
        </w:tc>
      </w:tr>
      <w:tr>
        <w:tc>
          <w:tcPr>
            <w:tcW w:type="dxa" w:w="2880"/>
          </w:tcPr>
          <w:p>
            <w:r>
              <w:t>Arus Kas (Cash Flow) Rumah Sakit</w:t>
            </w:r>
          </w:p>
        </w:tc>
        <w:tc>
          <w:tcPr>
            <w:tcW w:type="dxa" w:w="2880"/>
          </w:tcPr>
          <w:p>
            <w:r>
              <w:t>Tertunda 30–60 hari (Beban bunga SCF)</w:t>
            </w:r>
          </w:p>
        </w:tc>
        <w:tc>
          <w:tcPr>
            <w:tcW w:type="dxa" w:w="2880"/>
          </w:tcPr>
          <w:p>
            <w:r>
              <w:t>Pasti &amp; Tepat Waktu (&lt; 15 hari SLA)</w:t>
            </w:r>
          </w:p>
        </w:tc>
      </w:tr>
      <w:tr>
        <w:tc>
          <w:tcPr>
            <w:tcW w:type="dxa" w:w="2880"/>
          </w:tcPr>
          <w:p>
            <w:r>
              <w:t>Kepatuhan Regulasi Medis</w:t>
            </w:r>
          </w:p>
        </w:tc>
        <w:tc>
          <w:tcPr>
            <w:tcW w:type="dxa" w:w="2880"/>
          </w:tcPr>
          <w:p>
            <w:r>
              <w:t>Rentan human error &amp; beda persepsi</w:t>
            </w:r>
          </w:p>
        </w:tc>
        <w:tc>
          <w:tcPr>
            <w:tcW w:type="dxa" w:w="2880"/>
          </w:tcPr>
          <w:p>
            <w:r>
              <w:t>100% Rujukan Otentik PNPK Kemenkes</w:t>
            </w:r>
          </w:p>
        </w:tc>
      </w:tr>
    </w:tbl>
    <w:p>
      <w:pPr>
        <w:pStyle w:val="Heading1"/>
      </w:pPr>
      <w:r>
        <w:t>Bagian 8: Risiko, Privasi &amp; Etika</w:t>
      </w:r>
    </w:p>
    <w:p>
      <w:r>
        <w:t>Penerapan AI pada data jaminan kesehatan publik menuntut tanggung jawab etis dan kepatuhan hukum tanpa kompromi. GARDA-JKN dibangun berlandaskan prinsip Privacy-by-Design, kepatuhan penuh terhadap UU PDP No. 27/2022, dan tata kelola Human-Centric AI.</w:t>
      </w:r>
    </w:p>
    <w:p>
      <w:pPr>
        <w:pStyle w:val="Heading2"/>
      </w:pPr>
      <w:r>
        <w:t>A. Perlindungan Data Pribadi (Kepatuhan UU PDP No. 27/2022)</w:t>
      </w:r>
    </w:p>
    <w:p>
      <w:r>
        <w:t>• Zero-Knowledge Privacy Masking: Seluruh PII (Nama Pasien, NIK, No. Kartu BPJS) disensor otomatis di pintu awal ([DISENSOR_UNTUK_PRIVASI]) sebelum berkas dialirkan ke model AI. Model hanya memproses kode diagnosis (ICD-10/ICD-9-CM) dan data numerik.</w:t>
        <w:br/>
        <w:t>• Pemrosesan Nir-Jejak (Ephemeral Processing): Analisis LLM bersifat stateless tanpa menyimpan rekam medis di cloud publik (Zero Data Retention), mencegah kebocoran data privat pasien ke pihak ketiga.</w:t>
        <w:br/>
        <w:t>• Enkripsi Berlapis (At-Rest &amp; In-Transit): Seluruh komunikasi API diamankan dengan protokol TLS 1.3 mTLS dan penyimpanan basis data menggunakan enkripsi standar militer AES-256.</w:t>
      </w:r>
    </w:p>
    <w:p>
      <w:pPr>
        <w:pStyle w:val="Heading2"/>
      </w:pPr>
      <w:r>
        <w:t>B. Mitigasi Bias Algoritma &amp; Batasan Operasional AI</w:t>
      </w:r>
    </w:p>
    <w:p>
      <w:r>
        <w:t>• Nir-Bias Skala Faskes (Stratified 14 Strata): Algoritma Lapis 1 membagi tolok ukur ke dalam 14 strata faskes (RS Tipe A, B, C, D dan regional). Pola klaim RS tipe C/D atau daerah 3T hanya dibandingkan terhadap faskes setara (peer-group), bukan diadili memakai standar RS rujukan nasional metropolitan.</w:t>
        <w:br/>
        <w:t>• Batas Probabilitas &amp; Eskalasi Cerdas: Sistem memiliki ambang batas ketat (Hard Anomaly Threshold). Jika skor berada di zona ambigu (0.65 - 0.85) atau menghadapi penyakit langka, sistem secara sadar menolak memutus sepihak dan langsung mengalihkan berkas ke verifikator manusia.</w:t>
      </w:r>
    </w:p>
    <w:p>
      <w:pPr>
        <w:pStyle w:val="Heading2"/>
      </w:pPr>
      <w:r>
        <w:t>C. Peran Manusia dalam Keputusan (Human-in-the-Loop Governance)</w:t>
      </w:r>
    </w:p>
    <w:p>
      <w:r>
        <w:t>• Sistem Pendukung, Bukan Hakim Otonom: GARDA-JKN berfungsi murni sebagai Clinical Decision Support System (CDSS). Sistem dilarang keras menolak klaim secara sepihak (Zero Autonomous Auto-Rejection).</w:t>
        <w:br/>
        <w:t>• Hak Veto Mutlak Dokter Verifikator: Seluruh penolakan klaim wajib ditandatangani dan diputus secara sah oleh Dokter Verifikator BPJS melalui antarmuka V-Claim (Two-Person Verification Rule).</w:t>
        <w:br/>
        <w:t>• Transparansi Bukti Hukum (Explainable AI): Setiap klaim yang ditandai selalu disertai kode alasan TreeSHAP dan kutipan eksak bab, tabel, dan halaman resmi dari PNPK Kemenkes RI, menjamin akuntabilitas medikolegal di hadapan TKMKB.</w:t>
      </w:r>
    </w:p>
    <w:p>
      <w:pPr>
        <w:pStyle w:val="Heading2"/>
      </w:pPr>
      <w:r>
        <w:t>D. Matriks Penilaian &amp; Mitigasi Risiko Kritis (Tabel 30 Detik Baca)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Kategori Risiko</w:t>
            </w:r>
          </w:p>
        </w:tc>
        <w:tc>
          <w:tcPr>
            <w:tcW w:type="dxa" w:w="2160"/>
          </w:tcPr>
          <w:p>
            <w:r>
              <w:t>Identifikasi Potensi Ancaman</w:t>
            </w:r>
          </w:p>
        </w:tc>
        <w:tc>
          <w:tcPr>
            <w:tcW w:type="dxa" w:w="2160"/>
          </w:tcPr>
          <w:p>
            <w:r>
              <w:t>Tingkat</w:t>
            </w:r>
          </w:p>
        </w:tc>
        <w:tc>
          <w:tcPr>
            <w:tcW w:type="dxa" w:w="2160"/>
          </w:tcPr>
          <w:p>
            <w:r>
              <w:t>Strategi Mitigasi Teruji GARDA-JKN</w:t>
            </w:r>
          </w:p>
        </w:tc>
      </w:tr>
      <w:tr>
        <w:tc>
          <w:tcPr>
            <w:tcW w:type="dxa" w:w="2160"/>
          </w:tcPr>
          <w:p>
            <w:r>
              <w:t>Manipulasi Teks Medis (Prompt Injection)</w:t>
            </w:r>
          </w:p>
        </w:tc>
        <w:tc>
          <w:tcPr>
            <w:tcW w:type="dxa" w:w="2160"/>
          </w:tcPr>
          <w:p>
            <w:r>
              <w:t>Faskes menyisipkan teks manipulatif pada resume medis guna memperdaya LLM agar klaim lolos.</w:t>
            </w:r>
          </w:p>
        </w:tc>
        <w:tc>
          <w:tcPr>
            <w:tcW w:type="dxa" w:w="2160"/>
          </w:tcPr>
          <w:p>
            <w:r>
              <w:t>Tinggi</w:t>
            </w:r>
          </w:p>
        </w:tc>
        <w:tc>
          <w:tcPr>
            <w:tcW w:type="dxa" w:w="2160"/>
          </w:tcPr>
          <w:p>
            <w:r>
              <w:t>Security Guardrail Node: Sanitasi regex &amp; validasi skema semantik ketat di gerbang awal sebelum teks disentuh LLM.</w:t>
            </w:r>
          </w:p>
        </w:tc>
      </w:tr>
      <w:tr>
        <w:tc>
          <w:tcPr>
            <w:tcW w:type="dxa" w:w="2160"/>
          </w:tcPr>
          <w:p>
            <w:r>
              <w:t>Halusinasi Regulasi Medis LLM</w:t>
            </w:r>
          </w:p>
        </w:tc>
        <w:tc>
          <w:tcPr>
            <w:tcW w:type="dxa" w:w="2160"/>
          </w:tcPr>
          <w:p>
            <w:r>
              <w:t>AI mengarang aturan klinis fiktif yang merugikan faskes atau membahayakan pasien.</w:t>
            </w:r>
          </w:p>
        </w:tc>
        <w:tc>
          <w:tcPr>
            <w:tcW w:type="dxa" w:w="2160"/>
          </w:tcPr>
          <w:p>
            <w:r>
              <w:t>Tinggi</w:t>
            </w:r>
          </w:p>
        </w:tc>
        <w:tc>
          <w:tcPr>
            <w:tcW w:type="dxa" w:w="2160"/>
          </w:tcPr>
          <w:p>
            <w:r>
              <w:t>Constrained Qdrant RAG: Parameter suhu temp=0.0, dikunci hanya merujuk PDF PNPK resmi Kemenkes (DeepEval 100% Faithfulness).</w:t>
            </w:r>
          </w:p>
        </w:tc>
      </w:tr>
      <w:tr>
        <w:tc>
          <w:tcPr>
            <w:tcW w:type="dxa" w:w="2160"/>
          </w:tcPr>
          <w:p>
            <w:r>
              <w:t>Alarm Palsu (False Positive Dispute)</w:t>
            </w:r>
          </w:p>
        </w:tc>
        <w:tc>
          <w:tcPr>
            <w:tcW w:type="dxa" w:w="2160"/>
          </w:tcPr>
          <w:p>
            <w:r>
              <w:t>Klaim RS patuh tertuduh fraud sehingga mengganggu arus kas faskes dan memicu konflik hukum.</w:t>
            </w:r>
          </w:p>
        </w:tc>
        <w:tc>
          <w:tcPr>
            <w:tcW w:type="dxa" w:w="2160"/>
          </w:tcPr>
          <w:p>
            <w:r>
              <w:t>Sedang</w:t>
            </w:r>
          </w:p>
        </w:tc>
        <w:tc>
          <w:tcPr>
            <w:tcW w:type="dxa" w:w="2160"/>
          </w:tcPr>
          <w:p>
            <w:r>
              <w:t>Zero Auto-Reject &amp; Sanggah 14 Hari: Sistem tidak pernah menolak sepihak; RS berhak unggah berkas penunjang tandingan via V-Claim.</w:t>
            </w:r>
          </w:p>
        </w:tc>
      </w:tr>
      <w:tr>
        <w:tc>
          <w:tcPr>
            <w:tcW w:type="dxa" w:w="2160"/>
          </w:tcPr>
          <w:p>
            <w:r>
              <w:t>Latensi Jaringan &amp; Biaya Token API</w:t>
            </w:r>
          </w:p>
        </w:tc>
        <w:tc>
          <w:tcPr>
            <w:tcW w:type="dxa" w:w="2160"/>
          </w:tcPr>
          <w:p>
            <w:r>
              <w:t>Lonjakan volume klaim atau kendala jaringan cloud mengganggu kelancaran antrean verifikasi.</w:t>
            </w:r>
          </w:p>
        </w:tc>
        <w:tc>
          <w:tcPr>
            <w:tcW w:type="dxa" w:w="2160"/>
          </w:tcPr>
          <w:p>
            <w:r>
              <w:t>Sedang</w:t>
            </w:r>
          </w:p>
        </w:tc>
        <w:tc>
          <w:tcPr>
            <w:tcW w:type="dxa" w:w="2160"/>
          </w:tcPr>
          <w:p>
            <w:r>
              <w:t>Offline Fallback Architecture: Lapis 1 (Heuristik &amp; XGBoost) dapat berjalan mandiri secara offline di server lokal (&lt;10 milidetik).</w:t>
            </w:r>
          </w:p>
        </w:tc>
      </w:tr>
    </w:tbl>
    <w:p>
      <w:pPr>
        <w:pStyle w:val="Heading1"/>
      </w:pPr>
      <w:r>
        <w:t>Bagian 9: Profil Pengembang &amp; Rekam Jejak Eksekusi</w:t>
      </w:r>
    </w:p>
    <w:p>
      <w:r>
        <w:t>Inovasi GARDA-JKN dirancang, dikembangkan, dan divalidasi secara mandiri oleh Inovator Tunggal (Solo Innovator &amp; Fullstack AI Architect). Kemandirian eksekusi ini membuktikan penguasaan komprehensif atas seluruh spektrum rekayasa teknologi dan domain informatika kesehatan tanpa hambatan koordinasi (End-to-End Ownership):</w:t>
      </w:r>
    </w:p>
    <w:p>
      <w:pPr>
        <w:pStyle w:val="Heading2"/>
      </w:pPr>
      <w:r>
        <w:t>A. Identitas Inovator &amp; Kredensial Akademik</w:t>
      </w:r>
    </w:p>
    <w:p>
      <w:r>
        <w:t>• Nama Lengkap: Wahyu Maulana Ishaq</w:t>
        <w:br/>
        <w:t>• Peran: Lead Fullstack AI Engineer &amp; Health Informatics Specialist</w:t>
        <w:br/>
        <w:t>• Institusi &amp; Pendidikan: Mahasiswa S1 Informatika (Peminatan Data Science), Universitas Alma Ata, Yogyakarta (IPK: 3.84 / 4.00).</w:t>
        <w:br/>
        <w:t>• Relevansi Studi &amp; Kompetensi Medis: Telah menempuh kurikulum spesifik Electronic Health Records (EHR), Natural Language Processing (NLP), Machine Learning, Deep Learning, dan Visualisasi Data Medis.</w:t>
      </w:r>
    </w:p>
    <w:p>
      <w:pPr>
        <w:pStyle w:val="Heading2"/>
      </w:pPr>
      <w:r>
        <w:t>B. Rekam Jejak Teruji dalam AI Kesehatan (Clinical Decision Support)</w:t>
      </w:r>
    </w:p>
    <w:p>
      <w:r>
        <w:t>• Pengembang AegisMDT AI Agent (Hackathon Project 2026): Mengembangkan purwarupa Multi-Agent Oncology Decision Support berbasis Python/FastAPI yang mengorkestrasi agen patologi, onkologi, dan prognostik melalui alur konsensus berjenjang, RAG dokumen klinis, serta Human-in-the-Loop revision.</w:t>
        <w:br/>
        <w:t>• Pengembang GARDA-JKN (BPJS Healthkathon 2026): Mengembangkan sistem adjudikasi klaim pre-payment 3-Lapis end-to-end, mulai dari pemrosesan 5.000 data historis klaim, Vector DB Qdrant berstandar PNPK, hingga pengujian otomatis Playwright E2E dan DeepEval (Faithfulness 1.00).</w:t>
      </w:r>
    </w:p>
    <w:p>
      <w:pPr>
        <w:pStyle w:val="Heading2"/>
      </w:pPr>
      <w:r>
        <w:t>C. Pelatihan Internasional &amp; Pengalaman Tata Kelola AI Industri</w:t>
      </w:r>
    </w:p>
    <w:p>
      <w:r>
        <w:t>• Alumnus AI &amp; Data Science Program — Matsuo Iwasawa Lab, The University of Tokyo (2026): Menyelesaikan program intensif machine learning; merancang pipeline klasifikasi tabular (LightGBM, XGBoost, CatBoost), Optuna hyperparameter tuning, dan Explainable AI (SHAP) dengan simulasi dampak finansial bernilai $11.4 Juta.</w:t>
        <w:br/>
        <w:t>• Data Annotator (Remote Freelance) — Uber AI Solutions (Des 2025 – Sekarang): Terlibat langsung dalam evaluasi output LLM melalui Reinforcement Learning from Human Feedback (RLHF), preference ranking, dan response quality assessment guna menjamin keandalan dan alignment model AI.</w:t>
      </w:r>
    </w:p>
    <w:p>
      <w:pPr>
        <w:pStyle w:val="Heading2"/>
      </w:pPr>
      <w:r>
        <w:t>D. Prestasi &amp; Rekognisi Eksekusi Cepat</w:t>
      </w:r>
    </w:p>
    <w:p>
      <w:r>
        <w:t>• 5x Hacker Badge di Lablab.ai (Global AI Hackathon Platform): Terbukti memiliki ketangkasan (agility) tinggi dalam membangun dan meluncurkan produk AI fungsional dalam batasan waktu kompetisi yang ketat.</w:t>
        <w:br/>
        <w:t>• Juara Best Proposal — PKM Idea Competition 2025 (Universitas Alma Ata): Rekam jejak teruji dalam merumuskan proposal inovasi ilmiah yang terstruktur, berdampak tinggi, dan memenuhi standar metodologi riset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