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1"/>
      </w:pPr>
      <w:r>
        <w:t>Bagian 4: Pendekatan Teknis &amp; Data (Visualisasi)</w:t>
      </w:r>
    </w:p>
    <w:p>
      <w:pPr>
        <w:pStyle w:val="Heading2"/>
      </w:pPr>
      <w:r>
        <w:t>A. Sumber dan Karakteristik Data (The Golden Dataset)</w:t>
      </w:r>
    </w:p>
    <w:p>
      <w:r>
        <w:t>Dalam membangun fondasi analitik yang kokoh, GARDA-JKN mengintegrasikan dua himpunan data empiris resmi BPJS Kesehatan, yaitu data riwayat kunjungan Fasilitas Kesehatan Rujukan Tingkat Lanjut (FKRTL / 202403_fkrtl.dta) dan data diagnosis sekunder (202405_diagnosissekunder.dta). Penggabungan kedua tabel relasional ini berbasis nomor kunjungan (FKL02) sangat krusial guna mengaitkan variabel biaya tagihan dan durasi rawat inap dengan komorbiditas penyerta yang menjadi penentu sahnya tingkat keparahan (Severity Level) dalam sistem tarif INA-CBG.</w:t>
      </w:r>
    </w:p>
    <w:p>
      <w:r>
        <w:t>Meskipun total populasi data mentah yang tersedia mencakup sekitar 4 juta baris transaksi klaim, pelatihan dan validasi model pada fase purwarupa ini secara sengaja menggunakan pendekatan Stratified Representative Sampling sebanyak 5.000 sampel klaim berkualitas tinggi (The Golden Dataset). Langkah metodologis ini diambil untuk mengatasi tantangan extreme class imbalance yang lazim terjadi pada data klaim medis, di mana kasus kecurangan merupakan anomali minoritas (1–3%). Penarikan sampel secara bertingkat memastikan representasi yang adil dan proporsional lintas kelas rumah sakit (Tipe A, B, C, dan D) serta ragam kelompok diagnosis klinis utama, sehingga model terbebas dari bias ukuran faskes dan memiliki fondasi inferensi yang presisi.</w:t>
      </w:r>
    </w:p>
    <w:p>
      <w:pPr>
        <w:pStyle w:val="Heading2"/>
      </w:pPr>
      <w:r>
        <w:t>B. Metode Pelabelan AI (Semi-Supervised Learning) &amp; Validasi Outlier</w:t>
      </w:r>
    </w:p>
    <w:p>
      <w:r>
        <w:t>Tantangan utama dalam mendeteksi fraud klaim kesehatan di Indonesia adalah ketiadaan label biner (ground-truth fraud) pada data mentah operasional BPJS. Untuk memecahkan kendala ini secara ilmiah tanpa bergantung pada pelabelan manual yang lambat dan subjektif, GARDA-JKN mengadopsi paradigma Semi-Supervised Learning dengan mengimplementasikan algoritma Stratified Isolation Forest. Algoritma ini membedah pola klaim secara mandiri (unsupervised) dengan membandingkan deviasi suatu klaim hanya terhadap kelompok rekanan yang setara (peer-group comparison berdasarkan kelas RS dan kelompok diagnosis).</w:t>
      </w:r>
    </w:p>
    <w:p>
      <w:r>
        <w:t>Sebagaimana disajikan pada grafik distribusi di bawah ini, proses pemisahan klaster otomatis pada 5.000 data sampel berhasil mengisolasi klaim ke dalam dua kelompok yang terukur secara objektif:</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Hasil pelabelan mandiri tersebut menunjukkan bahwa dari 5.000 klaim yang dievaluasi, sebanyak 4.651 klaim (93,0%) teridentifikasi sebagai Inlier (klaim wajar/bersih), sementara 349 klaim (7,0%) berhasil diisolasi sebagai Outlier yang memuat anomali statistik berisiko tinggi. Rasio kecurigaan anomali sebesar 7,0% ini sangat selaras dan mencerminkan realitas empiris di lapangan, di mana tinjauan KPK dan Kementerian Kesehatan (2024) mengonfirmasi bahwa potensi kebocoran dana Program JKN akibat fraud dan inefisiensi fasilitas kesehatan berkisar antara 5% hingga 10% dari total klaim tahunan. Hal ini membuktikan bahwa batas sensitivitas model kami bekerja secara realistis tanpa menghukum faskes yang patuh.</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Berdasarkan kontribusi nilai fitur terhadap skor risiko, sistem secara konsisten mendeteksi bahwa anomali klaim paling dominan dipicu oleh variabel Biaya Tagih Per Hari, Durasi Rawat Inap (Length of Stay), dan ketidaksesuaian Severity Level terhadap komorbiditas sekunder.</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Korelasi ini memiliki relevansi klinis dan hukum yang sangat kuat terhadap modus operandi kecurangan di rumah sakit. Lonjakan tajam pada rasio Biaya Tagih Per Hari mengindikasikan kuatnya potensi klaim fiktif (Phantom Billing) di mana faskes membebankan tindakan/obat mahal tanpa adanya penambahan hari rawat atau bukti prosedur invasif. Di sisi lain, durasi rawat inap yang melampaui standar deviasi klinis tanpa justifikasi medis serta pengajuan Severity III tanpa keberadaan diagnosis sekunder mengonfirmasi indikasi manipulasi koding (Upcoding) demi mencairkan tarif INA-CBG yang jauh lebih tinggi.</w:t>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