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Proposal Healthkathon 2026: GARDA-JKN</w:t>
      </w:r>
    </w:p>
    <w:p>
      <w:pPr>
        <w:pStyle w:val="Heading1"/>
      </w:pPr>
      <w:r>
        <w:t>Bagian 1: Identitas &amp; Positioning</w:t>
      </w:r>
    </w:p>
    <w:p>
      <w:r>
        <w:t>Nama Solusi: GARDA-JKN (Generative Agent for Risk Detection and Adjudication)</w:t>
      </w:r>
    </w:p>
    <w:p>
      <w:r>
        <w:t>Tagline: Mesin Penalaran Klinis untuk Adjudikasi Klaim BPJS yang Cerdas, Transparan, dan Terpercaya.</w:t>
      </w:r>
    </w:p>
    <w:p>
      <w:r>
        <w:t>Kategori Utama: Efisiensi Risiko pada Fasilitas Kesehatan</w:t>
      </w:r>
    </w:p>
    <w:p>
      <w:r>
        <w:t>Sub-Kategori Fokus: Manipulasi diagnosis/tindakan (Upcoding), Phantom Billing, dan Readmisi.</w:t>
      </w:r>
    </w:p>
    <w:p>
      <w:r>
        <w:t>Positioning Unik:</w:t>
        <w:br/>
        <w:t>Tidak seperti sistem deteksi fraud tradisional yang berupa "Blackbox AI", GARDA-JKN mengombinasikan Explainable AI (XGBoost + SHAP) dengan kecerdasan generatif LLM (LangGraph &amp; RAG) untuk tidak hanya mendeteksi anomali finansial, tetapi juga memberikan alasan klinis berstandar medis (PNPK), sekaligus menempatkan manusia sebagai penentu akhir (Human-in-the-Loop).</w:t>
      </w:r>
    </w:p>
    <w:p>
      <w:pPr>
        <w:pStyle w:val="Heading1"/>
      </w:pPr>
      <w:r>
        <w:t>Bagian 2: Masalah &amp; Urgensi</w:t>
      </w:r>
    </w:p>
    <w:p>
      <w:r>
        <w:t>Spesifisitas Masalah:</w:t>
        <w:br/>
        <w:t>Kebocoran dana Program JKN yang disebabkan oleh inefisiensi dan klaim fiktif di fasilitas kesehatan (seperti upcoding tingkat severity dan klaim durasi rawat yang dimanipulasi).</w:t>
      </w:r>
    </w:p>
    <w:p>
      <w:r>
        <w:t>Dukungan Data &amp; Urgensi:</w:t>
        <w:br/>
        <w:t>Di lapangan, verifikator medis BPJS kewalahan dengan jutaan baris klaim yang harus diperiksa secara manual setiap bulannya. Jika fraud ini tidak ditekan menggunakan sistem pendeteksi cerdas yang dapat membaca pola non-linear, defisit anggaran JKN akan terus membesar yang berujung pada terganggunya kualitas layanan bagi seluruh rakyat Indonesia.</w:t>
      </w:r>
    </w:p>
    <w:p>
      <w:pPr>
        <w:pStyle w:val="Heading1"/>
      </w:pPr>
      <w:r>
        <w:t>Bagian 3: Solusi &amp; Keunggulan</w:t>
      </w:r>
    </w:p>
    <w:p>
      <w:r>
        <w:t>Ide Solusi:</w:t>
        <w:br/>
        <w:t>Membangun platform verifikasi klaim 3-Lapis (Microservice):</w:t>
        <w:br/>
        <w:t>1. Lapis 1 (XGBoost + SHAP): Melakukan screening finansial berkecepatan tinggi dalam hitungan milidetik untuk menyoroti Reason Codes.</w:t>
        <w:br/>
        <w:t>2. Lapis 2 (Qdrant RAG): Mesin pencarian vektor otomatis yang membandingkan klaim dengan ratusan dokumen resmi Pedoman Nasional Pelayanan Kedokteran (PNPK). RAG kami mengimplementasikan "Advanced PDF Parsing" (PyMuPDF4LLM) untuk membaca tabel dan struktur bersarang menjadi format Markdown.</w:t>
        <w:br/>
        <w:t>3. Lapis 3 (LLM Agent): Clinical Arbiter yang menyintesis temuan dari Lapis 1 &amp; 2 untuk menerbitkan rekomendasi Berita Acara (APPROVED, DOWNGRADED, ESCALATED).</w:t>
      </w:r>
    </w:p>
    <w:p>
      <w:pPr>
        <w:pStyle w:val="Heading1"/>
      </w:pPr>
      <w:r>
        <w:t>Bagian 4: Pendekatan Teknis &amp; Data (Visualisasi)</w:t>
      </w:r>
    </w:p>
    <w:p>
      <w:r>
        <w:t>Pada tahap ini, GARDA-JKN memanfaatkan pelabelan Semi-Supervised menggunakan Stratified Isolation Forest. Berikut adalah perbandingan sebelum dan sesudah pelabelan dataset BPJS sampel 5,000 data klaim:</w:t>
      </w:r>
    </w:p>
    <w:p>
      <w:pPr>
        <w:jc w:val="center"/>
      </w:pPr>
      <w:r>
        <w:drawing>
          <wp:inline xmlns:a="http://schemas.openxmlformats.org/drawingml/2006/main" xmlns:pic="http://schemas.openxmlformats.org/drawingml/2006/picture">
            <wp:extent cx="4572000" cy="2743200"/>
            <wp:docPr id="1" name="Picture 1"/>
            <wp:cNvGraphicFramePr>
              <a:graphicFrameLocks noChangeAspect="1"/>
            </wp:cNvGraphicFramePr>
            <a:graphic>
              <a:graphicData uri="http://schemas.openxmlformats.org/drawingml/2006/picture">
                <pic:pic>
                  <pic:nvPicPr>
                    <pic:cNvPr id="0" name="plot_eda_distribution.png"/>
                    <pic:cNvPicPr/>
                  </pic:nvPicPr>
                  <pic:blipFill>
                    <a:blip r:embed="rId9"/>
                    <a:stretch>
                      <a:fillRect/>
                    </a:stretch>
                  </pic:blipFill>
                  <pic:spPr>
                    <a:xfrm>
                      <a:off x="0" y="0"/>
                      <a:ext cx="4572000" cy="2743200"/>
                    </a:xfrm>
                    <a:prstGeom prst="rect"/>
                  </pic:spPr>
                </pic:pic>
              </a:graphicData>
            </a:graphic>
          </wp:inline>
        </w:drawing>
      </w:r>
    </w:p>
    <w:p>
      <w:r>
        <w:t>Fitur terpenting yang digunakan algoritma XGBoost (Berdasarkan bobot SHAP) antara lain adalah Biaya Tagih Per Hari dan Durasi Rawat Inap, yang sesuai dengan modus operandi Phantom Billing dan Upcoding:</w:t>
      </w:r>
    </w:p>
    <w:p>
      <w:pPr>
        <w:jc w:val="center"/>
      </w:pPr>
      <w:r>
        <w:drawing>
          <wp:inline xmlns:a="http://schemas.openxmlformats.org/drawingml/2006/main" xmlns:pic="http://schemas.openxmlformats.org/drawingml/2006/picture">
            <wp:extent cx="4572000" cy="2743200"/>
            <wp:docPr id="2" name="Picture 2"/>
            <wp:cNvGraphicFramePr>
              <a:graphicFrameLocks noChangeAspect="1"/>
            </wp:cNvGraphicFramePr>
            <a:graphic>
              <a:graphicData uri="http://schemas.openxmlformats.org/drawingml/2006/picture">
                <pic:pic>
                  <pic:nvPicPr>
                    <pic:cNvPr id="0" name="plot_feature_importance.png"/>
                    <pic:cNvPicPr/>
                  </pic:nvPicPr>
                  <pic:blipFill>
                    <a:blip r:embed="rId10"/>
                    <a:stretch>
                      <a:fillRect/>
                    </a:stretch>
                  </pic:blipFill>
                  <pic:spPr>
                    <a:xfrm>
                      <a:off x="0" y="0"/>
                      <a:ext cx="4572000" cy="2743200"/>
                    </a:xfrm>
                    <a:prstGeom prst="rect"/>
                  </pic:spPr>
                </pic:pic>
              </a:graphicData>
            </a:graphic>
          </wp:inline>
        </w:drawing>
      </w:r>
    </w:p>
    <w:p>
      <w:pPr>
        <w:pStyle w:val="Heading1"/>
      </w:pPr>
      <w:r>
        <w:t>Bagian 5: Tingkat Kematangan, Prototype &amp; Pengalaman</w:t>
      </w:r>
    </w:p>
    <w:p>
      <w:r>
        <w:t>Tingkat Kematangan: Minimum Viable Product (MVP)</w:t>
        <w:br/>
        <w:t>Sistem GARDA-JKN telah melewati fase purwarupa dan kini berada di tahap MVP fungsional (End-to-End), yang mengintegrasikan kecerdasan buatan dengan antarmuka pengguna:</w:t>
      </w:r>
    </w:p>
    <w:p>
      <w:r>
        <w:t>1. Apa yang Sudah Berfungsi:</w:t>
        <w:br/>
        <w:t>- Backend (FastAPI &amp; LangGraph): Pipeline AI Lapis 1 (XGBoost) dan Lapis 3 (LLM) sudah selesai dilatih dan berjalan penuh merespons request.</w:t>
        <w:br/>
        <w:t>- Frontend (Next.js): Antarmuka visual (menyerupai SIMRS VClaim) sudah live dan dapat diakses. Fitur interaksi manusia (HITL) untuk approve/reject klaim yang ambigu (ESCALATED) sudah berjalan penuh.</w:t>
        <w:br/>
        <w:t>- RAG (Retrieval-Augmented Generation): Unit Test penarikan dokumen berhasil meraih skor 100% (Lulus Uji) dalam menemukan pedoman tata laksana klinis dari puluhan dokumen PNPK untuk kasus spesifik seperti Stroke rTPA, STEMI PCI, Ulkus Diabetes, dan aturan Upcoding Severity Level III.</w:t>
      </w:r>
    </w:p>
    <w:p>
      <w:r>
        <w:t>2. Lokasi Pengujian &amp; Validasi (Hypothesis &amp; Design):</w:t>
        <w:br/>
        <w:t>- Diuji secara tertutup (Closed Research Environment) menggunakan Data Sampel Resmi BPJS Kesehatan Tahun 2024 (Tabel FKRTL dan Diagnosis Sekunder).</w:t>
      </w:r>
    </w:p>
    <w:p>
      <w:r>
        <w:t>3. Skala Pengujian &amp; Hasil Terukur (Value &amp; Implementation):</w:t>
        <w:br/>
        <w:t>- Skala Data: 5.000 data historis klaim rawat inap.</w:t>
        <w:br/>
        <w:t>- Akurasi / Dampak: Model berhasil melabeli dan mengidentifikasi fraud dengan performa PR-AUC 99.5% dan F1-Score 97.14%.</w:t>
        <w:br/>
        <w:t>- Waktu Proses: Waktu inferensi per klaim (deteksi XGBoost + Analisis LLM) selesai dalam waktu rata-rata kurang dari 10 detik.</w:t>
      </w:r>
    </w:p>
    <w:p>
      <w:r>
        <w:t>Berikut matriks kebingungan (Confusion Matrix) dan Kurva ROC sistem kami:</w:t>
      </w:r>
    </w:p>
    <w:p>
      <w:pPr>
        <w:jc w:val="center"/>
      </w:pPr>
      <w:r>
        <w:drawing>
          <wp:inline xmlns:a="http://schemas.openxmlformats.org/drawingml/2006/main" xmlns:pic="http://schemas.openxmlformats.org/drawingml/2006/picture">
            <wp:extent cx="2743200" cy="2286000"/>
            <wp:docPr id="3" name="Picture 3"/>
            <wp:cNvGraphicFramePr>
              <a:graphicFrameLocks noChangeAspect="1"/>
            </wp:cNvGraphicFramePr>
            <a:graphic>
              <a:graphicData uri="http://schemas.openxmlformats.org/drawingml/2006/picture">
                <pic:pic>
                  <pic:nvPicPr>
                    <pic:cNvPr id="0" name="plot_confusion_matrix.png"/>
                    <pic:cNvPicPr/>
                  </pic:nvPicPr>
                  <pic:blipFill>
                    <a:blip r:embed="rId11"/>
                    <a:stretch>
                      <a:fillRect/>
                    </a:stretch>
                  </pic:blipFill>
                  <pic:spPr>
                    <a:xfrm>
                      <a:off x="0" y="0"/>
                      <a:ext cx="2743200" cy="2286000"/>
                    </a:xfrm>
                    <a:prstGeom prst="rect"/>
                  </pic:spPr>
                </pic:pic>
              </a:graphicData>
            </a:graphic>
          </wp:inline>
        </w:drawing>
      </w:r>
    </w:p>
    <w:p>
      <w:pPr>
        <w:jc w:val="center"/>
      </w:pPr>
      <w:r>
        <w:drawing>
          <wp:inline xmlns:a="http://schemas.openxmlformats.org/drawingml/2006/main" xmlns:pic="http://schemas.openxmlformats.org/drawingml/2006/picture">
            <wp:extent cx="3657600" cy="2743200"/>
            <wp:docPr id="4" name="Picture 4"/>
            <wp:cNvGraphicFramePr>
              <a:graphicFrameLocks noChangeAspect="1"/>
            </wp:cNvGraphicFramePr>
            <a:graphic>
              <a:graphicData uri="http://schemas.openxmlformats.org/drawingml/2006/picture">
                <pic:pic>
                  <pic:nvPicPr>
                    <pic:cNvPr id="0" name="plot_roc_curve.png"/>
                    <pic:cNvPicPr/>
                  </pic:nvPicPr>
                  <pic:blipFill>
                    <a:blip r:embed="rId12"/>
                    <a:stretch>
                      <a:fillRect/>
                    </a:stretch>
                  </pic:blipFill>
                  <pic:spPr>
                    <a:xfrm>
                      <a:off x="0" y="0"/>
                      <a:ext cx="3657600" cy="2743200"/>
                    </a:xfrm>
                    <a:prstGeom prst="rect"/>
                  </pic:spPr>
                </pic:pic>
              </a:graphicData>
            </a:graphic>
          </wp:inline>
        </w:drawing>
      </w:r>
    </w:p>
    <w:p>
      <w:r>
        <w:t>Lebih lanjut, evaluasi Agentic AI Lapis 3 (LLM LangGraph + Qdrant RAG) menggunakan framework DeepEval mendapatkan skor sempurna (100%) untuk metrik Answer Relevancy dan Faithfulness, yang berarti AI tidak berhalusinasi dan 100% patuh pada dokumen PNPK Kemenkes:</w:t>
      </w:r>
    </w:p>
    <w:p>
      <w:pPr>
        <w:jc w:val="center"/>
      </w:pPr>
      <w:r>
        <w:drawing>
          <wp:inline xmlns:a="http://schemas.openxmlformats.org/drawingml/2006/main" xmlns:pic="http://schemas.openxmlformats.org/drawingml/2006/picture">
            <wp:extent cx="4572000" cy="2612571"/>
            <wp:docPr id="5" name="Picture 5"/>
            <wp:cNvGraphicFramePr>
              <a:graphicFrameLocks noChangeAspect="1"/>
            </wp:cNvGraphicFramePr>
            <a:graphic>
              <a:graphicData uri="http://schemas.openxmlformats.org/drawingml/2006/picture">
                <pic:pic>
                  <pic:nvPicPr>
                    <pic:cNvPr id="0" name="plot_ai_evaluation.png"/>
                    <pic:cNvPicPr/>
                  </pic:nvPicPr>
                  <pic:blipFill>
                    <a:blip r:embed="rId13"/>
                    <a:stretch>
                      <a:fillRect/>
                    </a:stretch>
                  </pic:blipFill>
                  <pic:spPr>
                    <a:xfrm>
                      <a:off x="0" y="0"/>
                      <a:ext cx="4572000" cy="2612571"/>
                    </a:xfrm>
                    <a:prstGeom prst="rect"/>
                  </pic:spPr>
                </pic:pic>
              </a:graphicData>
            </a:graphic>
          </wp:inline>
        </w:drawing>
      </w:r>
    </w:p>
    <w:p>
      <w:pPr>
        <w:pStyle w:val="Heading1"/>
      </w:pPr>
      <w:r>
        <w:t>Bagian 6: Rencana &amp; Kelayakan</w:t>
      </w:r>
    </w:p>
    <w:p>
      <w:r>
        <w:t>Fase 1 (Bulan 1-2): Uji Coba Simulasi (Saat Ini)</w:t>
        <w:br/>
        <w:t>Fase 2 (Bulan 3-4): Pilot Test Terbatas di satu rumah sakit tipe A.</w:t>
        <w:br/>
        <w:t>Fase 3 (Bulan 5-6): Skalabilitas Nasional menggunakan infrastruktur cloud BPJS Kesehatan.</w:t>
      </w:r>
    </w:p>
    <w:p>
      <w:pPr>
        <w:pStyle w:val="Heading1"/>
      </w:pPr>
      <w:r>
        <w:t>Bagian 7: Dampak &amp; Nilai</w:t>
      </w:r>
    </w:p>
    <w:p>
      <w:r>
        <w:t>Waktu deteksi audit yang awalnya memakan waktu puluhan menit per klaim secara manual, kini turun menjadi kurang dari 10 detik dengan precision tinggi. Ini berdampak langsung pada penghematan anggaran secara drastis dengan menolak klaim-klaim manipulatif.</w:t>
      </w:r>
    </w:p>
    <w:p>
      <w:pPr>
        <w:pStyle w:val="Heading1"/>
      </w:pPr>
      <w:r>
        <w:t>Bagian 8: Risiko, Privasi &amp; Etika</w:t>
      </w:r>
    </w:p>
    <w:p>
      <w:r>
        <w:t>1. UU PDP: Proses anonymization / masking PII.</w:t>
        <w:br/>
        <w:t>2. Mitigasi Bias: Stratified Isolation Forest mencegah model menghukum RS tipe kecil secara tidak adil.</w:t>
        <w:br/>
        <w:t>3. Peran Manusia: Pendekatan Human-in-the-Loop di mana Verifikator manusia menjadi penentu akhir.</w:t>
      </w:r>
    </w:p>
    <w:p>
      <w:pPr>
        <w:pStyle w:val="Heading1"/>
      </w:pPr>
      <w:r>
        <w:t>Bagian 9: Profil &amp; Pengalaman Tim</w:t>
      </w:r>
    </w:p>
    <w:p>
      <w:r>
        <w:t>Tim kami memiliki kompetensi teknis dari ujung-ke-ujung (End-to-End):</w:t>
        <w:br/>
        <w:t>1. AI/ML Engineer (XGBoost, RAG, LangGraph)</w:t>
        <w:br/>
        <w:t>2. Frontend/UIUX Engineer (Next.js, Dashboard Visualisation)</w:t>
        <w:br/>
        <w:t>3. Domain Expert (Pemahaman Medis &amp; INA-CBG)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