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r>
        <w:t>Tingkat Kematangan: Minimum Viable Product (MVP)</w:t>
        <w:br/>
        <w:t>Sistem GARDA-JKN telah melewati fase purwarupa dan berstatus End-to-End Functional. Semua komponen saling terhubung melalui REST API:</w:t>
      </w:r>
    </w:p>
    <w:p>
      <w:r>
        <w:t>1. Bukti Kinerja Klasifikasi Machine Learning (Lapis 1):</w:t>
        <w:br/>
        <w:t>- Skala Pengujian: 5.000 data historis klaim.</w:t>
        <w:br/>
        <w:t>- Hasil Precision-Recall AUC (PR-AUC): 0.9958.</w:t>
        <w:br/>
        <w:t>- Hit Rate Precision@100: 70.0% konfirmasi kecurangan nyata.</w:t>
        <w:br/>
        <w:t>- Kinerja Kelas Fraud (F1-Score): 97.14%. Waktu inferensi per klaim mencapai hitungan kurang dari 10 detik.</w:t>
      </w:r>
    </w:p>
    <w:p>
      <w:r>
        <w:t>Berikut adalah matriks kebingungan (Confusion Matrix) dan Kurva ROC sistem ML kami:</w:t>
      </w:r>
    </w:p>
    <w:p>
      <w:pPr>
        <w:jc w:val="center"/>
      </w:pPr>
      <w:r>
        <w:drawing>
          <wp:inline xmlns:a="http://schemas.openxmlformats.org/drawingml/2006/main" xmlns:pic="http://schemas.openxmlformats.org/drawingml/2006/picture">
            <wp:extent cx="2743200" cy="22860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657600" cy="2743200"/>
                    </a:xfrm>
                    <a:prstGeom prst="rect"/>
                  </pic:spPr>
                </pic:pic>
              </a:graphicData>
            </a:graphic>
          </wp:inline>
        </w:drawing>
      </w:r>
    </w:p>
    <w:p>
      <w:r>
        <w:t>2. Bukti Evaluasi Agentic AI (Lapis 2 &amp; 3):</w:t>
        <w:br/>
        <w:t>Kami melakukan evaluasi komprehensif menggunakan framework DeepEval terhadap agen penalaran klinis kami. Hasilnya luar biasa: LLM mencapai skor sempurna (1.00 atau 100%) untuk metrik "Answer Relevancy" dan "Faithfulness". Ini menjamin bahwa AI tidak mengalami halusinasi dan putusannya 100% selaras dengan teks pedoman Kemenkes (PNPK):</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572000" cy="2612571"/>
                    </a:xfrm>
                    <a:prstGeom prst="rect"/>
                  </pic:spPr>
                </pic:pic>
              </a:graphicData>
            </a:graphic>
          </wp:inline>
        </w:drawing>
      </w:r>
    </w:p>
    <w:p>
      <w:r>
        <w:t>3. Bukti Integrasi Antarmuka (Next.js VClaim UI):</w:t>
        <w:br/>
        <w:t>Sebagai bukti bahwa MVP ini nyata dan fungsional, kami telah menyertakan hasil End-to-End Playwright Testing dari antarmuka dasbor verifikator kami. Dasbor ini menampilkan rekomendasi putusan (Adjudication Result), skor heuristik, dan alasan medis secara interaktif:</w:t>
      </w:r>
    </w:p>
    <w:p>
      <w:pPr>
        <w:jc w:val="center"/>
      </w:pPr>
      <w:r>
        <w:drawing>
          <wp:inline xmlns:a="http://schemas.openxmlformats.org/drawingml/2006/main" xmlns:pic="http://schemas.openxmlformats.org/drawingml/2006/picture">
            <wp:extent cx="4572000" cy="9661525"/>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572000" cy="9661525"/>
                    </a:xfrm>
                    <a:prstGeom prst="rect"/>
                  </pic:spPr>
                </pic:pic>
              </a:graphicData>
            </a:graphic>
          </wp:inline>
        </w:drawing>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