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 xml:space="preserve">Word 表图注入 · 目检样本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毕方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AI 智能工作室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目检样本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 xml:space="preserve">2026-9-28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/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/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5A6FFA22" w14:textId="77777777" w:rsidR="00EB4FB3" w:rsidRPr="00F26A0F" w:rsidRDefault="00FF1333" w:rsidP="007508FC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>
        <w:rPr>
          <w:b/>
          <w:sz w:val="30"/>
        </w:rPr>
        <w:br w:type="page"/>
      </w:r>
      <w:r w:rsidR="00EB4FB3" w:rsidRPr="00F26A0F">
        <w:rPr>
          <w:rFonts w:ascii="黑体" w:eastAsia="黑体" w:hint="eastAsia"/>
          <w:sz w:val="32"/>
          <w:szCs w:val="32"/>
        </w:rPr>
        <w:lastRenderedPageBreak/>
        <w:t>文档修改记录</w:t>
      </w: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322"/>
        <w:gridCol w:w="1447"/>
        <w:gridCol w:w="1421"/>
        <w:gridCol w:w="1422"/>
        <w:gridCol w:w="2755"/>
      </w:tblGrid>
      <w:tr w:rsidR="00EB4FB3" w:rsidRPr="004D12B2" w14:paraId="6122A0C2" w14:textId="77777777">
        <w:tc>
          <w:tcPr>
            <w:tcW w:w="1341" w:type="dxa"/>
          </w:tcPr>
          <w:p w14:paraId="14DBCCC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版本号</w:t>
            </w:r>
          </w:p>
        </w:tc>
        <w:tc>
          <w:tcPr>
            <w:tcW w:w="1470" w:type="dxa"/>
          </w:tcPr>
          <w:p w14:paraId="4F4CEE99" w14:textId="77777777" w:rsidR="00EB4FB3" w:rsidRPr="004D12B2" w:rsidRDefault="00EB4FB3" w:rsidP="005A7FC4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日期</w:t>
            </w:r>
          </w:p>
        </w:tc>
        <w:tc>
          <w:tcPr>
            <w:tcW w:w="1443" w:type="dxa"/>
          </w:tcPr>
          <w:p w14:paraId="556A55C6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修改章节</w:t>
            </w:r>
          </w:p>
        </w:tc>
        <w:tc>
          <w:tcPr>
            <w:tcW w:w="1444" w:type="dxa"/>
          </w:tcPr>
          <w:p w14:paraId="6B695FD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修改页</w:t>
            </w:r>
          </w:p>
        </w:tc>
        <w:tc>
          <w:tcPr>
            <w:tcW w:w="2807" w:type="dxa"/>
          </w:tcPr>
          <w:p w14:paraId="448FF123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备注</w:t>
            </w:r>
          </w:p>
        </w:tc>
      </w:tr>
      <w:tr w:rsidR="00334D98" w:rsidRPr="007508FC" w14:paraId="344E896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87E128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799E65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6275A6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EC3C20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6F6C77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1C292BB4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3F918B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36137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94FCF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5BA6A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B919C6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6D1D28F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27E529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33409A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43E5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56B8594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945280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8447B10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2BAAF1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EDC6B0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0902218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CC8D1C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F4E41F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9A7F1A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631FDB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DF145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71C5D0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629559F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AC66F48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03BA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AEF4F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9C95FD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4D6F085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9F92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FC12880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E8BD545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C58DA8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7C40CF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73221E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4B10A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FCAB4ED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A0BE37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5818491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4C799F9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86AC3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2DA910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5FB056B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7C9F78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5212C6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4B1812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8B37F7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2DE61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0E04BD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260179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A2ADFD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09DB4D5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D321E6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6C61B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908D1A9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8227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B76A5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1CAF7C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291A7A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8DA6B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6808B2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1A102C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E12844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76A30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D27C2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8F0E69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5CCAF83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71EE2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8F4CAA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2108A8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9FD0B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16A44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CA8AFE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553F18A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3CA9DA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F0E9B6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DB8B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254BBB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7B351BF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972FB3C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0661D3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87B97E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87F595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893A2C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2D8279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2D137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B1CF5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1050A6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96BCAC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4F46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7527EA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C8DCB63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F40FB19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AEDC3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0A2D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C52DE4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22262608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105B5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6C05D92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CD284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287FC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3BA46F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C422801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AC2B22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230696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ED579F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EB5CE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FBF09E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EC4FEA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936897B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A395C9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5A2897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77F737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F7C832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6C0457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95D092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C44E89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5A9B7F1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A682C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992BB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D26822E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17FC33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1362E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699802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9D735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02308E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B1A7824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9296DE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7D70C90D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6ADE0124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61DEA10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34D3CF5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C577D2" w14:textId="77777777" w:rsidR="00F26A0F" w:rsidRPr="007508FC" w:rsidRDefault="00F26A0F" w:rsidP="00CC5CEF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97C348C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58B2ABD9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59777E9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583F7F9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170F2B9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08D265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6C496A8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6CF8C01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1DEF0FE6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7741ABA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2D63930B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600CD141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5989D1B" w14:textId="77777777">
        <w:trPr>
          <w:trHeight w:val="321"/>
        </w:trPr>
        <w:tc>
          <w:tcPr>
            <w:tcW w:w="1341" w:type="dxa"/>
            <w:tcBorders>
              <w:top w:val="single" w:sz="6" w:space="0" w:color="000000"/>
              <w:bottom w:val="single" w:sz="12" w:space="0" w:color="000000"/>
            </w:tcBorders>
          </w:tcPr>
          <w:p w14:paraId="1ED4A863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top w:val="single" w:sz="6" w:space="0" w:color="000000"/>
              <w:bottom w:val="single" w:sz="12" w:space="0" w:color="000000"/>
            </w:tcBorders>
          </w:tcPr>
          <w:p w14:paraId="5F4CB36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top w:val="single" w:sz="6" w:space="0" w:color="000000"/>
              <w:bottom w:val="single" w:sz="12" w:space="0" w:color="000000"/>
            </w:tcBorders>
          </w:tcPr>
          <w:p w14:paraId="1C8A9324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top w:val="single" w:sz="6" w:space="0" w:color="000000"/>
              <w:bottom w:val="single" w:sz="12" w:space="0" w:color="000000"/>
            </w:tcBorders>
          </w:tcPr>
          <w:p w14:paraId="0B3B8C1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top w:val="single" w:sz="6" w:space="0" w:color="000000"/>
              <w:bottom w:val="single" w:sz="12" w:space="0" w:color="000000"/>
            </w:tcBorders>
          </w:tcPr>
          <w:p w14:paraId="067946AA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  <w:bookmarkStart w:id="0" w:name="_Toc130734505"/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82955956" w:history="1">
        <w:r w:rsidR="0095541A" w:rsidRPr="000D0C20">
          <w:rPr>
            <w:rStyle w:val="ae"/>
            <w:noProof/>
          </w:rPr>
          <w:t/>
        </w:r>
        <w:r w:rsidR="00207C75">
          <w:rPr>
            <w:rStyle w:val="ae"/>
            <w:rFonts w:hint="eastAsia"/>
            <w:noProof/>
          </w:rPr>
          <w:t/>
        </w:r>
        <w:r w:rsidR="0095541A" w:rsidRPr="000D0C20">
          <w:rPr>
            <w:rStyle w:val="ae"/>
            <w:noProof/>
          </w:rPr>
          <w:t/>
        </w:r>
        <w:r w:rsidR="0095541A">
          <w:rPr>
            <w:noProof/>
            <w:webHidden/>
          </w:rPr>
          <w:tab/>
        </w:r>
        <w:r w:rsidR="0095541A">
          <w:rPr>
            <w:noProof/>
            <w:webHidden/>
          </w:rPr>
          <w:fldChar w:fldCharType="begin"/>
        </w:r>
        <w:r w:rsidR="0095541A">
          <w:rPr>
            <w:noProof/>
            <w:webHidden/>
          </w:rPr>
          <w:instrText xml:space="preserve"> PAGEREF _Toc182955956 \h </w:instrText>
        </w:r>
        <w:r w:rsidR="0095541A">
          <w:rPr>
            <w:noProof/>
            <w:webHidden/>
          </w:rPr>
        </w:r>
        <w:r w:rsidR="0095541A">
          <w:rPr>
            <w:noProof/>
            <w:webHidden/>
          </w:rPr>
          <w:fldChar w:fldCharType="separate"/>
        </w:r>
        <w:r w:rsidR="0095541A">
          <w:rPr>
            <w:noProof/>
            <w:webHidden/>
          </w:rPr>
          <w:t xml:space="preserve">1</w:t>
        </w:r>
        <w:r w:rsidR="0095541A">
          <w:rPr>
            <w:noProof/>
            <w:webHidden/>
          </w:rPr>
          <w:fldChar w:fldCharType="end"/>
        </w:r>
      </w:hyperlink>
    </w:p>
    <w:p w14:paraId="1A0444FA" w14:textId="3045FA4C" w:rsidR="0095541A" w:rsidRDefault="0095541A">
      <w:pPr>
        <w:pStyle w:val="TOC1"/>
        <w:tabs>
          <w:tab w:val="left" w:pos="440"/>
          <w:tab w:val="right" w:leader="dot" w:pos="8495"/>
        </w:tabs>
        <w:rPr>
          <w:noProof/>
        </w:rPr>
      </w:pPr>
      <w:hyperlink w:anchor="_Toc182955957" w:history="1">
        <w:r w:rsidRPr="000D0C20">
          <w:rPr>
            <w:rStyle w:val="ae"/>
            <w:noProof/>
          </w:rPr>
          <w:t xml:space="preserve">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第一章 表格与跨页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1.1 各价格带销量对比（长表 8 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41A4528B" w14:textId="78763194" w:rsidR="0095541A" w:rsidRDefault="0095541A">
      <w:pPr>
        <w:pStyle w:val="TOC1"/>
        <w:tabs>
          <w:tab w:val="right" w:leader="dot" w:pos="8495"/>
        </w:tabs>
        <w:rPr>
          <w:noProof/>
        </w:rPr>
      </w:pPr>
      <w:hyperlink w:anchor="_Toc182955959" w:history="1">
        <w:r w:rsidRPr="000D0C20">
          <w:rPr>
            <w:rStyle w:val="ae"/>
            <w:noProof/>
          </w:rPr>
          <w:t/>
        </w:r>
        <w:r w:rsidR="00207C75">
          <w:rPr>
            <w:rStyle w:val="ae"/>
            <w:rFonts w:hint="eastAsia"/>
            <w:noProof/>
          </w:rPr>
          <w:t/>
        </w:r>
        <w:r w:rsidR="0095541A" w:rsidRPr="000D0C20">
          <w:rPr>
            <w:rStyle w:val="ae"/>
            <w:noProof/>
          </w:rPr>
          <w:t/>
        </w:r>
        <w:r w:rsidR="0095541A">
          <w:rPr>
            <w:noProof/>
            <w:webHidden/>
          </w:rPr>
          <w:tab/>
        </w:r>
        <w:r w:rsidR="0095541A">
          <w:rPr>
            <w:noProof/>
            <w:webHidden/>
          </w:rPr>
          <w:fldChar w:fldCharType="begin"/>
        </w:r>
        <w:r w:rsidR="0095541A">
          <w:rPr>
            <w:noProof/>
            <w:webHidden/>
          </w:rPr>
          <w:instrText xml:space="preserve"> PAGEREF _Toc182955956 \h </w:instrText>
        </w:r>
        <w:r w:rsidR="0095541A">
          <w:rPr>
            <w:noProof/>
            <w:webHidden/>
          </w:rPr>
        </w:r>
        <w:r w:rsidR="0095541A">
          <w:rPr>
            <w:noProof/>
            <w:webHidden/>
          </w:rPr>
          <w:fldChar w:fldCharType="separate"/>
        </w:r>
        <w:r w:rsidR="0095541A">
          <w:rPr>
            <w:noProof/>
            <w:webHidden/>
          </w:rPr>
          <w:t xml:space="preserve">1</w:t>
        </w:r>
        <w:r w:rsidR="0095541A">
          <w:rPr>
            <w:noProof/>
            <w:webHidden/>
          </w:rPr>
          <w:fldChar w:fldCharType="end"/>
        </w:r>
      </w:hyperlink>
    </w:p>
    <w:p w14:paraId="1A0444FA" w14:textId="3045FA4C" w:rsidR="0095541A" w:rsidRDefault="0095541A">
      <w:pPr>
        <w:pStyle w:val="TOC1"/>
        <w:tabs>
          <w:tab w:val="left" w:pos="440"/>
          <w:tab w:val="right" w:leader="dot" w:pos="8495"/>
        </w:tabs>
        <w:rPr>
          <w:noProof/>
        </w:rPr>
      </w:pPr>
      <w:hyperlink w:anchor="_Toc182955957" w:history="1">
        <w:r w:rsidRPr="000D0C20">
          <w:rPr>
            <w:rStyle w:val="ae"/>
            <w:noProof/>
          </w:rPr>
          <w:t xml:space="preserve">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第二章 插图四种分支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2.1 竖图（高受限）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2.2 横图（宽受限）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2.3 小图（不放大）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2.4 两种降级（缺失占位）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 xml:space="preserve"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 xml:space="preserve">2.5 无块段落（对照组）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 xml:space="preserve">1</w:t>
        </w:r>
        <w:r>
          <w:rPr>
            <w:noProof/>
            <w:webHidden/>
          </w:rPr>
          <w:fldChar w:fldCharType="end"/>
        </w:r>
      </w:hyperlink>
    </w:p>
    <w:p w14:paraId="41A4528B" w14:textId="78763194" w:rsidR="0095541A" w:rsidRDefault="0095541A">
      <w:pPr>
        <w:pStyle w:val="TOC1"/>
        <w:tabs>
          <w:tab w:val="right" w:leader="dot" w:pos="8495"/>
        </w:tabs>
        <w:rPr>
          <w:noProof/>
        </w:rPr>
      </w:pPr>
      <w:hyperlink w:anchor="_Toc182955959" w:history="1">
        <w:r w:rsidRPr="000D0C20">
          <w:rPr>
            <w:rStyle w:val="ae"/>
            <w:noProof/>
          </w:rPr>
          <w:t/>
        </w:r>
        <w:r w:rsidR="00207C75">
          <w:rPr>
            <w:rStyle w:val="ae"/>
            <w:rFonts w:hint="eastAsia"/>
            <w:noProof/>
          </w:rPr>
          <w:t/>
        </w:r>
        <w:r w:rsidRPr="000D0C20">
          <w:rPr>
            <w:rStyle w:val="ae"/>
            <w:noProof/>
          </w:rPr>
          <w:t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AD2696" w14:textId="57FF7E1A" w:rsidR="00D10F66" w:rsidRDefault="003B6402" w:rsidP="00EF5381">
      <w:pPr>
        <w:pStyle w:val="10"/>
        <w:tabs>
          <w:tab w:val="right" w:leader="dot" w:pos="9345"/>
        </w:tabs>
      </w:pP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47319B28" w14:textId="42940988" w:rsidR="00FC6BE3" w:rsidRDefault="00220604" w:rsidP="007C2D57">
      <w:pPr>
        <w:pStyle w:val="1"/>
        <w:spacing w:line="360" w:lineRule="auto"/>
      </w:pPr>
      <w:bookmarkStart w:id="12" w:name="_Toc182955957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 xml:space="preserve">第一章 表格与跨页</w:t>
      </w:r>
      <w:r w:rsidR="00A82E01">
        <w:rPr>
          <w:rFonts w:hint="eastAsia"/>
        </w:rPr>
        <w:t/>
      </w:r>
      <w:r>
        <w:rPr>
          <w:rFonts w:hint="eastAsia"/>
        </w:rPr>
        <w:t/>
      </w:r>
      <w:bookmarkEnd w:id="12"/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1.1 各价格带销量对比（长表 8 行）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目检要点：表格是否为 8 行 × 4 列、首行灰底加粗、列宽均分；若表格跨页，第二页表头应自动重复；表上方应有居中题注「表 1 …」。四列文字密度不同（「¥1000以上」最长、「占比」最短），用于确认列宽均分是否够用。</w:t>
      </w:r>
    </w:p>
    <w:p>
      <w:pPr>
        <w:jc w:val="center"/>
        <w:spacing w:before="60" w:after="180"/>
      </w:pPr>
      <w:r>
        <w:rPr>
          <w:sz w:val="18"/>
          <w:szCs w:val="18"/>
        </w:rPr>
        <w:t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各价格带销量与 GMV 对比（目检：跨页表头是否重复）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126"/>
        <w:gridCol w:w="2126"/>
        <w:gridCol w:w="2126"/>
        <w:gridCol w:w="2126"/>
      </w:tblGrid>
      <w:tr>
        <w:trPr>
          <w:tblHeader/>
        </w:trPr>
        <w:tc>
          <w:tcPr>
            <w:tcW w:w="2126" w:type="dxa"/>
            <w:shd w:val="clear" w:fill="F2F2F2"/>
          </w:tcPr>
          <w:p>
            <w:r>
              <w:rPr>
                <w:b/>
              </w:rPr>
              <w:t>价格带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销量(万件)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GMV(万元)</w:t>
            </w:r>
          </w:p>
        </w:tc>
        <w:tc>
          <w:tcPr>
            <w:tcW w:w="2126" w:type="dxa"/>
            <w:shd w:val="clear" w:fill="F2F2F2"/>
          </w:tcPr>
          <w:p>
            <w:r>
              <w:rPr>
                <w:b/>
              </w:rPr>
              <w:t>占比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¥0-50</w:t>
            </w:r>
          </w:p>
        </w:tc>
        <w:tc>
          <w:tcPr>
            <w:tcW w:w="2126" w:type="dxa"/>
          </w:tcPr>
          <w:p>
            <w:r>
              <w:t>12.4</w:t>
            </w:r>
          </w:p>
        </w:tc>
        <w:tc>
          <w:tcPr>
            <w:tcW w:w="2126" w:type="dxa"/>
          </w:tcPr>
          <w:p>
            <w:r>
              <w:t>486.2</w:t>
            </w:r>
          </w:p>
        </w:tc>
        <w:tc>
          <w:tcPr>
            <w:tcW w:w="2126" w:type="dxa"/>
          </w:tcPr>
          <w:p>
            <w:r>
              <w:t>4.1%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¥50-100</w:t>
            </w:r>
          </w:p>
        </w:tc>
        <w:tc>
          <w:tcPr>
            <w:tcW w:w="2126" w:type="dxa"/>
          </w:tcPr>
          <w:p>
            <w:r>
              <w:t>38.7</w:t>
            </w:r>
          </w:p>
        </w:tc>
        <w:tc>
          <w:tcPr>
            <w:tcW w:w="2126" w:type="dxa"/>
          </w:tcPr>
          <w:p>
            <w:r>
              <w:t>2918.5</w:t>
            </w:r>
          </w:p>
        </w:tc>
        <w:tc>
          <w:tcPr>
            <w:tcW w:w="2126" w:type="dxa"/>
          </w:tcPr>
          <w:p>
            <w:r>
              <w:t>12.8%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¥100-200</w:t>
            </w:r>
          </w:p>
        </w:tc>
        <w:tc>
          <w:tcPr>
            <w:tcW w:w="2126" w:type="dxa"/>
          </w:tcPr>
          <w:p>
            <w:r>
              <w:t>56.9</w:t>
            </w:r>
          </w:p>
        </w:tc>
        <w:tc>
          <w:tcPr>
            <w:tcW w:w="2126" w:type="dxa"/>
          </w:tcPr>
          <w:p>
            <w:r>
              <w:t>8214.0</w:t>
            </w:r>
          </w:p>
        </w:tc>
        <w:tc>
          <w:tcPr>
            <w:tcW w:w="2126" w:type="dxa"/>
          </w:tcPr>
          <w:p>
            <w:r>
              <w:t>18.8%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¥200-300</w:t>
            </w:r>
          </w:p>
        </w:tc>
        <w:tc>
          <w:tcPr>
            <w:tcW w:w="2126" w:type="dxa"/>
          </w:tcPr>
          <w:p>
            <w:r>
              <w:t>41.2</w:t>
            </w:r>
          </w:p>
        </w:tc>
        <w:tc>
          <w:tcPr>
            <w:tcW w:w="2126" w:type="dxa"/>
          </w:tcPr>
          <w:p>
            <w:r>
              <w:t>9876.3</w:t>
            </w:r>
          </w:p>
        </w:tc>
        <w:tc>
          <w:tcPr>
            <w:tcW w:w="2126" w:type="dxa"/>
          </w:tcPr>
          <w:p>
            <w:r>
              <w:t>13.6%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¥300-500</w:t>
            </w:r>
          </w:p>
        </w:tc>
        <w:tc>
          <w:tcPr>
            <w:tcW w:w="2126" w:type="dxa"/>
          </w:tcPr>
          <w:p>
            <w:r>
              <w:t>22.8</w:t>
            </w:r>
          </w:p>
        </w:tc>
        <w:tc>
          <w:tcPr>
            <w:tcW w:w="2126" w:type="dxa"/>
          </w:tcPr>
          <w:p>
            <w:r>
              <w:t>7455.1</w:t>
            </w:r>
          </w:p>
        </w:tc>
        <w:tc>
          <w:tcPr>
            <w:tcW w:w="2126" w:type="dxa"/>
          </w:tcPr>
          <w:p>
            <w:r>
              <w:t>7.5%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¥500-1000</w:t>
            </w:r>
          </w:p>
        </w:tc>
        <w:tc>
          <w:tcPr>
            <w:tcW w:w="2126" w:type="dxa"/>
          </w:tcPr>
          <w:p>
            <w:r>
              <w:t>9.6</w:t>
            </w:r>
          </w:p>
        </w:tc>
        <w:tc>
          <w:tcPr>
            <w:tcW w:w="2126" w:type="dxa"/>
          </w:tcPr>
          <w:p>
            <w:r>
              <w:t>6120.4</w:t>
            </w:r>
          </w:p>
        </w:tc>
        <w:tc>
          <w:tcPr>
            <w:tcW w:w="2126" w:type="dxa"/>
          </w:tcPr>
          <w:p>
            <w:r>
              <w:t>3.2%</w:t>
            </w:r>
          </w:p>
        </w:tc>
      </w:tr>
      <w:tr>
        <w:trPr>
          <w:cantSplit/>
        </w:trPr>
        <w:tc>
          <w:tcPr>
            <w:tcW w:w="2126" w:type="dxa"/>
          </w:tcPr>
          <w:p>
            <w:r>
              <w:t>¥1000以上</w:t>
            </w:r>
          </w:p>
        </w:tc>
        <w:tc>
          <w:tcPr>
            <w:tcW w:w="2126" w:type="dxa"/>
          </w:tcPr>
          <w:p>
            <w:r>
              <w:t>2.1</w:t>
            </w:r>
          </w:p>
        </w:tc>
        <w:tc>
          <w:tcPr>
            <w:tcW w:w="2126" w:type="dxa"/>
          </w:tcPr>
          <w:p>
            <w:r>
              <w:t>3880.9</w:t>
            </w:r>
          </w:p>
        </w:tc>
        <w:tc>
          <w:tcPr>
            <w:tcW w:w="2126" w:type="dxa"/>
          </w:tcPr>
          <w:p>
            <w:r>
              <w:t>0.7%</w:t>
            </w:r>
          </w:p>
        </w:tc>
      </w:tr>
    </w:tbl>
    <w:p/>
    <w:p w14:paraId="47319B28" w14:textId="42940988" w:rsidR="00FC6BE3" w:rsidRDefault="00220604" w:rsidP="007C2D57">
      <w:pPr>
        <w:pStyle w:val="1"/>
        <w:spacing w:line="360" w:lineRule="auto"/>
      </w:pPr>
      <w:bookmarkStart w:id="12" w:name="_Toc182955957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 xml:space="preserve">第二章 插图四种分支</w:t>
      </w:r>
      <w:r w:rsidR="00A82E01">
        <w:rPr>
          <w:rFonts w:hint="eastAsia"/>
        </w:rPr>
        <w:t/>
      </w:r>
      <w:r>
        <w:rPr>
          <w:rFonts w:hint="eastAsia"/>
        </w:rPr>
        <w:t/>
      </w:r>
      <w:bookmarkEnd w:id="12"/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2.1 竖图（高受限）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396×879，瘦高。应**按版心高 80% 为上限缩放**，因此图片高度约 18.9cm、宽度只有约 8.5cm（明显窄于版心），且不拉伸变形。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3075422" cy="6826504"/>
            <wp:docPr id="1" name="Picture1" descr="竖图 396×879（高受限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5422" cy="682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竖图 396×879（高受限分支）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2.2 横图（宽受限）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635×300，扁宽。应**吃满版心宽 95%**（约 14.1cm），高度约 6.7cm；图与上一张竖图之间应有间距，两图各自居中。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5130641" cy="2423925"/>
            <wp:docPr id="2" name="Picture2" descr="横图 635×300（宽受限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641" cy="24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横图 635×300（宽受限分支）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2.3 小图（不放大）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目检要点：源图 398×400，接近正方形且像素小。**不应被放大到版心宽**——按 96dpi 原尺寸约 10.5cm × 10.6cm，两侧留白应明显。这条是「不放大小图」的回归。</w:t>
      </w:r>
    </w:p>
    <w:p>
      <w:pPr>
        <w:jc w:val="center"/>
        <w:spacing w:before="120" w:after="60"/>
      </w:pPr>
      <w:r>
        <w:drawing>
          <wp:inline xmlns:wp="http://schemas.openxmlformats.org/drawingml/2006/wordprocessingDrawing" distT="0" distB="0" distL="0" distR="0">
            <wp:extent cx="3790950" cy="3810000"/>
            <wp:docPr id="3" name="Picture3" descr="小图 398×400（不放大分支）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小图 398×400（不放大分支）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2.4 两种降级（缺失占位）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目检要点：本段下方应出现**两处红字占位**，且题注保留、正文继续——绝不能因为取图失败而整篇放弃或抛错。</w:t>
      </w:r>
    </w:p>
    <w:p>
      <w:pPr>
        <w:jc w:val="center"/>
        <w:spacing w:before="60" w:after="60"/>
      </w:pPr>
      <w:r>
        <w:rPr>
          <w:color w:val="C00000"/>
          <w:sz w:val="18"/>
        </w:rPr>
        <w:t>［图片缺失：upload:oversize（&gt;1572864B）］</w:t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超大图 1.95MB（应降级：&gt;1572864B）</w:t>
      </w:r>
    </w:p>
    <w:p>
      <w:pPr>
        <w:jc w:val="center"/>
        <w:spacing w:before="60" w:after="60"/>
      </w:pPr>
      <w:r>
        <w:rPr>
          <w:color w:val="C00000"/>
          <w:sz w:val="18"/>
        </w:rPr>
        <w:t>［图片缺失：kb:不存在的文档/none.png］</w:t>
      </w:r>
    </w:p>
    <w:p>
      <w:pPr>
        <w:jc w:val="center"/>
        <w:spacing w:before="60" w:after="180"/>
      </w:pPr>
      <w:r>
        <w:rPr>
          <w:sz w:val="18"/>
          <w:szCs w:val="18"/>
        </w:rPr>
        <w:t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sz w:val="18"/>
        </w:rPr>
        <w:t xml:space="preserve"> ref 取不到（应降级：图片缺失）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 xml:space="preserve">2.5 无块段落（对照组）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 xml:space="preserve">本段不带任何块。目检要点：这一段下方**不应出现空表格、空行或残留锚点符号**——即锚点段被干净删除，不留痕迹。</w:t>
      </w:r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 xml:space="preserve">Word 表图注入 · 目检样本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 xml:space="preserve">Word 表图注入 · 目检样本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 xml:space="preserve">Word 表图注入 · 目检样本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 xml:space="preserve">Word 表图注入 · 目检样本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3" Type="http://schemas.openxmlformats.org/officeDocument/2006/relationships/image" Target="media/img1.png"/><Relationship Id="rId14" Type="http://schemas.openxmlformats.org/officeDocument/2006/relationships/image" Target="media/img2.png"/><Relationship Id="rId15" Type="http://schemas.openxmlformats.org/officeDocument/2006/relationships/image" Target="media/img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