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90"/>
        <w:jc w:val="center"/>
      </w:pPr>
      <w:r>
        <w:rPr>
          <w:color w:val="2563EB"/>
          <w:sz w:val="18"/>
        </w:rPr>
      </w:r>
      <w:r>
        <w:rPr>
          <w:rFonts w:ascii="微软雅黑" w:eastAsia="微软雅黑" w:hAnsi="微软雅黑" w:cs="微软雅黑" w:hint="eastAsia"/>
          <w:color w:val="2563EB"/>
          <w:sz w:val="18"/>
          <w:lang w:eastAsia="zh-CN"/>
        </w:rPr>
        <w:t>选品方法论</w:t>
      </w:r>
      <w:r>
        <w:rPr>
          <w:color w:val="2563EB"/>
          <w:sz w:val="18"/>
        </w:rPr>
        <w:t xml:space="preserve"> · </w:t>
      </w:r>
      <w:r>
        <w:rPr>
          <w:rFonts w:ascii="微软雅黑" w:eastAsia="微软雅黑" w:hAnsi="微软雅黑" w:cs="微软雅黑" w:hint="eastAsia"/>
          <w:color w:val="2563EB"/>
          <w:sz w:val="18"/>
          <w:lang w:eastAsia="zh-CN"/>
        </w:rPr>
        <w:t>可复用提示词资产</w:t>
      </w:r>
    </w:p>
    <w:p>
      <w:pPr>
        <w:pStyle w:val="Heading1"/>
        <w:spacing w:line="312" w:lineRule="auto" w:before="960" w:after="240"/>
        <w:jc w:val="center"/>
      </w:pPr>
      <w:r>
        <w:rPr>
          <w:rFonts w:ascii="微软雅黑" w:hAnsi="微软雅黑" w:eastAsia="微软雅黑" w:cs="微软雅黑" w:hint="eastAsia"/>
          <w:b w:val="0"/>
          <w:color w:val="111827"/>
          <w:sz w:val="48"/>
          <w:lang w:eastAsia="zh-CN"/>
        </w:rPr>
        <w:t>选品 PPT 三层提示词模板</w:t>
      </w:r>
    </w:p>
    <w:p>
      <w:pPr>
        <w:spacing w:after="520"/>
        <w:jc w:val="center"/>
      </w:pPr>
      <w:r>
        <w:rPr>
          <w:rFonts w:ascii="微软雅黑" w:eastAsia="微软雅黑" w:hAnsi="微软雅黑" w:cs="微软雅黑" w:hint="eastAsia"/>
          <w:color w:val="6B7280"/>
          <w:sz w:val="26"/>
          <w:lang w:eastAsia="zh-CN"/>
        </w:rPr>
        <w:t>换主题不重写：骨架固定、领域可换、变量填槽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11827"/>
                <w:sz w:val="18"/>
              </w:rPr>
              <w:t>项目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11827"/>
                <w:sz w:val="18"/>
              </w:rPr>
              <w:t>说明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适用场景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把行业素材（报告、平台数据、竞品资料）转成面向选品岗的爆品筛选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PPT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核心结构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不变骨架层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领域框架层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变量层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配套产出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《帮助选品师筛选出抖音男装爆品》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PPT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（本模板的首个应用实例）</w:t>
            </w:r>
          </w:p>
        </w:tc>
      </w:tr>
    </w:tbl>
    <w:p>
      <w:pPr>
        <w:jc w:val="center"/>
      </w:pP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本模板用于内部复用，可随主题变化自由改写变量层</w:t>
      </w:r>
      <w:r/>
    </w:p>
    <w:p>
      <w:pPr>
        <w:sectPr>
          <w:type w:val="nextPage"/>
          <w:pgSz w:w="11906" w:h="16838"/>
          <w:pgMar w:top="1417" w:bottom="1134" w:left="1417" w:right="1417"/>
        </w:sectPr>
      </w:pPr>
    </w:p>
    <w:p>
      <w:pPr>
        <w:spacing w:after="130"/>
        <w:jc w:val="left"/>
      </w:pPr>
      <w:r/>
      <w:r>
        <w:rPr>
          <w:sz w:val="26"/>
        </w:rPr>
        <w:t>目录</w:t>
      </w:r>
    </w:p>
    <w:p>
      <w:hyperlink w:anchor="_Toc_section_1">
        <w:r>
          <w:rPr>
            <w:rFonts w:hint="eastAsia"/>
            <w:color w:val="000000"/>
            <w:u w:val="none"/>
          </w:rPr>
          <w:t xml:space="preserve">一、这份模板解决什么问题</w:t>
        </w:r>
      </w:hyperlink>
    </w:p>
    <w:p>
      <w:hyperlink w:anchor="_Toc_section_2">
        <w:r>
          <w:rPr>
            <w:rFonts w:hint="eastAsia"/>
            <w:color w:val="000000"/>
            <w:u w:val="none"/>
          </w:rPr>
          <w:t xml:space="preserve">二、三层结构总览</w:t>
        </w:r>
      </w:hyperlink>
    </w:p>
    <w:p>
      <w:hyperlink w:anchor="_Toc_section_3">
        <w:r>
          <w:rPr>
            <w:rFonts w:hint="eastAsia"/>
            <w:color w:val="000000"/>
            <w:u w:val="none"/>
          </w:rPr>
          <w:t xml:space="preserve">三、全局提示词模板（定大纲）</w:t>
        </w:r>
      </w:hyperlink>
    </w:p>
    <w:p>
      <w:hyperlink w:anchor="_Toc_section_4">
        <w:r>
          <w:rPr>
            <w:rFonts w:hint="eastAsia"/>
            <w:color w:val="000000"/>
            <w:u w:val="none"/>
          </w:rPr>
          <w:t xml:space="preserve">四、变量填写表</w:t>
        </w:r>
      </w:hyperlink>
    </w:p>
    <w:p>
      <w:hyperlink w:anchor="_Toc_section_5">
        <w:r>
          <w:rPr>
            <w:rFonts w:hint="eastAsia"/>
            <w:color w:val="000000"/>
            <w:u w:val="none"/>
          </w:rPr>
          <w:t xml:space="preserve">五、单页提示词模板（定要点）</w:t>
        </w:r>
      </w:hyperlink>
    </w:p>
    <w:p>
      <w:hyperlink w:anchor="_Toc_section_6">
        <w:r>
          <w:rPr>
            <w:rFonts w:hint="eastAsia"/>
            <w:color w:val="000000"/>
            <w:u w:val="none"/>
          </w:rPr>
          <w:t xml:space="preserve">六、领域框架层：五类桶与判断阈值</w:t>
        </w:r>
      </w:hyperlink>
    </w:p>
    <w:p>
      <w:hyperlink w:anchor="_Toc_section_7">
        <w:r>
          <w:rPr>
            <w:rFonts w:hint="eastAsia"/>
            <w:color w:val="000000"/>
            <w:u w:val="none"/>
          </w:rPr>
          <w:t xml:space="preserve">七、什么时候需要替换领域框架层</w:t>
        </w:r>
      </w:hyperlink>
    </w:p>
    <w:p>
      <w:hyperlink w:anchor="_Toc_section_8">
        <w:r>
          <w:rPr>
            <w:rFonts w:hint="eastAsia"/>
            <w:color w:val="000000"/>
            <w:u w:val="none"/>
          </w:rPr>
          <w:t xml:space="preserve">八、生成流程六步与质检要点</w:t>
        </w:r>
      </w:hyperlink>
    </w:p>
    <w:p>
      <w:hyperlink w:anchor="_Toc_section_9">
        <w:r>
          <w:rPr>
            <w:rFonts w:hint="eastAsia"/>
            <w:color w:val="000000"/>
            <w:u w:val="none"/>
          </w:rPr>
          <w:t xml:space="preserve">九、附：结论与证据的映射示例</w:t>
        </w:r>
      </w:hyperlink>
    </w:p>
    <w:p>
      <w:bookmarkStart w:id="9" w:name="_Toc_section_1"/>
      <w:bookmarkStart w:id="0" w:name="section-1"/>
      <w:pPr>
        <w:pStyle w:val="Heading2"/>
        <w:spacing w:line="312" w:lineRule="auto"/>
        <w:jc w:val="left"/>
      </w:pPr>
      <w:bookmarkEnd w:id="0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一、这份模板解决什么问题</w:t>
      </w:r>
      <w:bookmarkEnd w:id="9"/>
    </w:p>
    <w:p>
      <w:pPr>
        <w:jc w:val="left"/>
      </w:pPr>
      <w:r>
        <w:rPr>
          <w:rFonts w:ascii="微软雅黑" w:eastAsia="微软雅黑" w:hAnsi="微软雅黑" w:cs="微软雅黑" w:hint="eastAsia"/>
          <w:sz w:val="22"/>
          <w:lang w:eastAsia="zh-CN"/>
        </w:rPr>
        <w:t>行业报告是行业视角的叙述，选品师需要的是决策顺序的执行清单。两者之间的转换是重复劳动：压缩无关品类、把结论改写成动作、把散落在不同章节的数据拼成一条论证、把判断落到可执行的阈值。</w:t>
      </w:r>
    </w:p>
    <w:p>
      <w:pPr>
        <w:jc w:val="left"/>
      </w:pPr>
      <w:r>
        <w:rPr>
          <w:rFonts w:ascii="微软雅黑" w:eastAsia="微软雅黑" w:hAnsi="微软雅黑" w:cs="微软雅黑" w:hint="eastAsia"/>
          <w:sz w:val="22"/>
          <w:lang w:eastAsia="zh-CN"/>
        </w:rPr>
        <w:t>本模板把这项工作固定为可复用的三层结构，避免每次从零描述需求。</w:t>
      </w:r>
    </w:p>
    <w:p>
      <w:bookmarkStart w:id="10" w:name="_Toc_section_2"/>
      <w:bookmarkStart w:id="1" w:name="section-2"/>
      <w:pPr>
        <w:pStyle w:val="Heading2"/>
        <w:spacing w:line="312" w:lineRule="auto"/>
        <w:jc w:val="left"/>
      </w:pPr>
      <w:bookmarkEnd w:id="1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二、三层结构总览</w:t>
      </w:r>
      <w:bookmarkEnd w:id="10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11827"/>
                <w:sz w:val="18"/>
              </w:rPr>
              <w:t>层级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11827"/>
                <w:sz w:val="18"/>
              </w:rPr>
              <w:t>内容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11827"/>
                <w:sz w:val="18"/>
              </w:rPr>
              <w:t>变化频率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不变骨架层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角色设定、输出契约（页数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每页字段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出处页码）、叙事转换原则、禁止编造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永不动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领域框架层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五类桶（赛道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风格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卖点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人群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节点）与判断阈值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换主题类型才改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变量层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岗位、对象、范围、素材形态、页数、口径偏好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每次改</w:t>
            </w:r>
          </w:p>
        </w:tc>
      </w:tr>
    </w:tbl>
    <w:p>
      <w:pPr>
        <w:spacing w:after="90"/>
        <w:jc w:val="left"/>
        <w:pBdr>
          <w:left w:val="single" w:sz="18" w:space="0" w:color="2563EB"/>
        </w:pBdr>
        <w:shd w:val="clear" w:color="auto" w:fill="F3F4F6"/>
      </w:pPr>
      <w:r>
        <w:rPr>
          <w:sz w:val="18"/>
        </w:rPr>
        <w:t xml:space="preserve">  </w:t>
      </w:r>
      <w:r>
        <w:rPr>
          <w:rFonts w:ascii="微软雅黑" w:eastAsia="微软雅黑" w:hAnsi="微软雅黑" w:cs="微软雅黑" w:hint="eastAsia"/>
          <w:sz w:val="18"/>
          <w:lang w:eastAsia="zh-CN"/>
        </w:rPr>
        <w:t>判据只有一句：换掉主题后，读者要做的那个动作有没有变。动作变了就替换领域框架层；动作没变、只是对象变了，就只填变量槽。</w:t>
      </w:r>
    </w:p>
    <w:p>
      <w:bookmarkStart w:id="11" w:name="_Toc_section_3"/>
      <w:bookmarkStart w:id="2" w:name="section-3"/>
      <w:pPr>
        <w:pStyle w:val="Heading2"/>
        <w:spacing w:line="312" w:lineRule="auto"/>
        <w:jc w:val="left"/>
      </w:pPr>
      <w:bookmarkEnd w:id="2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三、全局提示词模板（定大纲）</w:t>
      </w:r>
      <w:bookmarkEnd w:id="11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8640"/>
      </w:tblGrid>
      <w:tr>
        <w:tc>
          <w:tcPr>
            <w:tcW w:type="dxa" w:w="86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92" w:type="dxa"/>
              <w:bottom w:w="19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11827"/>
                <w:sz w:val="18"/>
              </w:rPr>
              <w:t>可直接复制的提示词</w:t>
            </w:r>
          </w:p>
        </w:tc>
      </w:tr>
      <w:tr>
        <w:tc>
          <w:tcPr>
            <w:tcW w:type="dxa" w:w="86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92" w:type="dxa"/>
              <w:bottom w:w="19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你是</w:t>
            </w:r>
            <w:r>
              <w:rPr>
                <w:sz w:val="18"/>
              </w:rPr>
              <w:t>{{</w:t>
            </w:r>
            <w:r>
              <w:rPr>
                <w:sz w:val="18"/>
              </w:rPr>
              <w:t>领域</w:t>
            </w:r>
            <w:r>
              <w:rPr>
                <w:sz w:val="18"/>
              </w:rPr>
              <w:t>}}</w:t>
            </w:r>
            <w:r>
              <w:rPr>
                <w:sz w:val="18"/>
              </w:rPr>
              <w:t>顾问。请阅读我提供的素材（</w:t>
            </w:r>
            <w:r>
              <w:rPr>
                <w:sz w:val="18"/>
              </w:rPr>
              <w:t>{{</w:t>
            </w:r>
            <w:r>
              <w:rPr>
                <w:sz w:val="18"/>
              </w:rPr>
              <w:t>素材形态</w:t>
            </w:r>
            <w:r>
              <w:rPr>
                <w:sz w:val="18"/>
              </w:rPr>
              <w:t>}}</w:t>
            </w:r>
            <w:r>
              <w:rPr>
                <w:sz w:val="18"/>
              </w:rPr>
              <w:t>），为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帮助</w:t>
            </w:r>
            <w:r>
              <w:rPr>
                <w:sz w:val="18"/>
              </w:rPr>
              <w:t>{{</w:t>
            </w:r>
            <w:r>
              <w:rPr>
                <w:sz w:val="18"/>
              </w:rPr>
              <w:t>岗位</w:t>
            </w:r>
            <w:r>
              <w:rPr>
                <w:sz w:val="18"/>
              </w:rPr>
              <w:t>}}</w:t>
            </w:r>
            <w:r>
              <w:rPr>
                <w:sz w:val="18"/>
              </w:rPr>
              <w:t>筛选或判断</w:t>
            </w:r>
            <w:r>
              <w:rPr>
                <w:sz w:val="18"/>
              </w:rPr>
              <w:t>{{</w:t>
            </w:r>
            <w:r>
              <w:rPr>
                <w:sz w:val="18"/>
              </w:rPr>
              <w:t>对象</w:t>
            </w:r>
            <w:r>
              <w:rPr>
                <w:sz w:val="18"/>
              </w:rPr>
              <w:t>}}”</w:t>
            </w:r>
            <w:r>
              <w:rPr>
                <w:sz w:val="18"/>
              </w:rPr>
              <w:t>生成一份</w:t>
            </w:r>
            <w:r>
              <w:rPr>
                <w:sz w:val="18"/>
              </w:rPr>
              <w:t xml:space="preserve"> PPT </w:t>
            </w:r>
            <w:r>
              <w:rPr>
                <w:sz w:val="18"/>
              </w:rPr>
              <w:t>大纲。</w:t>
            </w:r>
            <w:r>
              <w:rPr>
                <w:sz w:val="18"/>
              </w:rPr>
              <w:t xml:space="preserve"> </w:t>
            </w:r>
          </w:p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要求：</w:t>
            </w:r>
            <w:r>
              <w:rPr>
                <w:sz w:val="18"/>
              </w:rPr>
              <w:t xml:space="preserve"> </w:t>
            </w:r>
          </w:p>
          <w:p>
            <w:pPr>
              <w:pStyle w:val="ListNumber"/>
              <w:numPr>
                <w:ilvl w:val="0"/>
                <w:numId w:val="10"/>
              </w:numPr>
              <w:jc w:val="left"/>
              <w:spacing w:line="240" w:lineRule="auto" w:before="45" w:after="45"/>
            </w:pPr>
            <w:r>
              <w:rPr>
                <w:sz w:val="18"/>
              </w:rPr>
              <w:t>不要沿用素材原有章节顺序，改为</w:t>
            </w:r>
            <w:r>
              <w:rPr>
                <w:sz w:val="18"/>
              </w:rPr>
              <w:t>{{</w:t>
            </w:r>
            <w:r>
              <w:rPr>
                <w:sz w:val="18"/>
              </w:rPr>
              <w:t>岗位</w:t>
            </w:r>
            <w:r>
              <w:rPr>
                <w:sz w:val="18"/>
              </w:rPr>
              <w:t>}}</w:t>
            </w:r>
            <w:r>
              <w:rPr>
                <w:sz w:val="18"/>
              </w:rPr>
              <w:t>的决策顺序：</w:t>
            </w:r>
            <w:r>
              <w:rPr>
                <w:sz w:val="18"/>
              </w:rPr>
              <w:t>{{</w:t>
            </w:r>
            <w:r>
              <w:rPr>
                <w:sz w:val="18"/>
              </w:rPr>
              <w:t>决策链</w:t>
            </w:r>
            <w:r>
              <w:rPr>
                <w:sz w:val="18"/>
              </w:rPr>
              <w:t>}}</w:t>
            </w:r>
            <w:r>
              <w:rPr>
                <w:sz w:val="18"/>
              </w:rPr>
              <w:t>；</w:t>
            </w:r>
          </w:p>
          <w:p>
            <w:pPr>
              <w:pStyle w:val="ListNumber"/>
              <w:numPr>
                <w:ilvl w:val="0"/>
                <w:numId w:val="10"/>
              </w:numPr>
              <w:jc w:val="left"/>
              <w:spacing w:line="240" w:lineRule="auto" w:before="45" w:after="45"/>
            </w:pPr>
            <w:r>
              <w:rPr>
                <w:sz w:val="18"/>
              </w:rPr>
              <w:t>每个要点必须能回答</w:t>
            </w:r>
            <w:r>
              <w:rPr>
                <w:sz w:val="18"/>
              </w:rPr>
              <w:t>“{{</w:t>
            </w:r>
            <w:r>
              <w:rPr>
                <w:sz w:val="18"/>
              </w:rPr>
              <w:t>动作问题</w:t>
            </w:r>
            <w:r>
              <w:rPr>
                <w:sz w:val="18"/>
              </w:rPr>
              <w:t>}}”</w:t>
            </w:r>
            <w:r>
              <w:rPr>
                <w:sz w:val="18"/>
              </w:rPr>
              <w:t>；</w:t>
            </w:r>
          </w:p>
          <w:p>
            <w:pPr>
              <w:pStyle w:val="ListNumber"/>
              <w:numPr>
                <w:ilvl w:val="0"/>
                <w:numId w:val="10"/>
              </w:numPr>
              <w:jc w:val="left"/>
              <w:spacing w:line="240" w:lineRule="auto" w:before="45" w:after="45"/>
            </w:pPr>
            <w:r>
              <w:rPr>
                <w:sz w:val="18"/>
              </w:rPr>
              <w:t>只保留与</w:t>
            </w:r>
            <w:r>
              <w:rPr>
                <w:sz w:val="18"/>
              </w:rPr>
              <w:t>{{</w:t>
            </w:r>
            <w:r>
              <w:rPr>
                <w:sz w:val="18"/>
              </w:rPr>
              <w:t>范围</w:t>
            </w:r>
            <w:r>
              <w:rPr>
                <w:sz w:val="18"/>
              </w:rPr>
              <w:t>}}</w:t>
            </w:r>
            <w:r>
              <w:rPr>
                <w:sz w:val="18"/>
              </w:rPr>
              <w:t>相关的内容，其他部分剔除；</w:t>
            </w:r>
          </w:p>
          <w:p>
            <w:pPr>
              <w:pStyle w:val="ListNumber"/>
              <w:numPr>
                <w:ilvl w:val="0"/>
                <w:numId w:val="10"/>
              </w:numPr>
              <w:jc w:val="left"/>
              <w:spacing w:line="240" w:lineRule="auto" w:before="45" w:after="45"/>
            </w:pPr>
            <w:r>
              <w:rPr>
                <w:sz w:val="18"/>
              </w:rPr>
              <w:t>输出</w:t>
            </w:r>
            <w:r>
              <w:rPr>
                <w:sz w:val="18"/>
              </w:rPr>
              <w:t xml:space="preserve"> {{N}} </w:t>
            </w:r>
            <w:r>
              <w:rPr>
                <w:sz w:val="18"/>
              </w:rPr>
              <w:t>页，每页给出：页码、标题（不超过</w:t>
            </w:r>
            <w:r>
              <w:rPr>
                <w:sz w:val="18"/>
              </w:rPr>
              <w:t xml:space="preserve"> 20 </w:t>
            </w:r>
            <w:r>
              <w:rPr>
                <w:sz w:val="18"/>
              </w:rPr>
              <w:t>字）、副标题（一句结论）、</w:t>
            </w:r>
            <w:r>
              <w:rPr>
                <w:sz w:val="18"/>
              </w:rPr>
              <w:t xml:space="preserve">3 </w:t>
            </w:r>
            <w:r>
              <w:rPr>
                <w:sz w:val="18"/>
              </w:rPr>
              <w:t>至</w:t>
            </w:r>
            <w:r>
              <w:rPr>
                <w:sz w:val="18"/>
              </w:rPr>
              <w:t xml:space="preserve"> 7 </w:t>
            </w:r>
            <w:r>
              <w:rPr>
                <w:sz w:val="18"/>
              </w:rPr>
              <w:t>个要点、以及每个要点对应的原文出处；</w:t>
            </w:r>
          </w:p>
          <w:p>
            <w:pPr>
              <w:pStyle w:val="ListNumber"/>
              <w:numPr>
                <w:ilvl w:val="0"/>
                <w:numId w:val="10"/>
              </w:numPr>
              <w:jc w:val="left"/>
              <w:spacing w:line="240" w:lineRule="auto" w:before="45" w:after="45"/>
            </w:pPr>
            <w:r>
              <w:rPr>
                <w:sz w:val="18"/>
              </w:rPr>
              <w:t>区分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原文证据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你的推演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，推演必须显式标注。</w:t>
            </w:r>
            <w:r>
              <w:rPr>
                <w:sz w:val="18"/>
              </w:rPr>
              <w:t xml:space="preserve"> </w:t>
            </w:r>
          </w:p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输出大纲给我确认后再生成正文。</w:t>
            </w:r>
          </w:p>
        </w:tc>
      </w:tr>
    </w:tbl>
    <w:p>
      <w:bookmarkStart w:id="12" w:name="_Toc_section_4"/>
      <w:bookmarkStart w:id="3" w:name="section-4"/>
      <w:pPr>
        <w:pStyle w:val="Heading2"/>
        <w:spacing w:line="312" w:lineRule="auto"/>
        <w:jc w:val="left"/>
      </w:pPr>
      <w:bookmarkEnd w:id="3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四、变量填写表</w:t>
      </w:r>
      <w:bookmarkEnd w:id="12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11827"/>
                <w:sz w:val="18"/>
              </w:rPr>
              <w:t>变量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11827"/>
                <w:sz w:val="18"/>
              </w:rPr>
              <w:t>含义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11827"/>
                <w:sz w:val="18"/>
              </w:rPr>
              <w:t>男装示例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11827"/>
                <w:sz w:val="18"/>
              </w:rPr>
              <w:t>女装示例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{{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领域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}}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所属业务领域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抖音服饰选品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抖音服饰选品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{{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素材形态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}}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素材类型与来源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2024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抖音服饰行业趋势报告（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PDF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）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同一份报告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{{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岗位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}}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文档服务对象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选品师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选品师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{{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对象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}}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筛选目标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抖音男装爆品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抖音女装爆品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{{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范围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}}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保留范围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男装、男鞋、男士配饰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女装、女鞋、女包配饰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{{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决策链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}}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读者决策顺序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机会判断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人群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货品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趋势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模型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节奏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同左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{{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动作问题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}}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读者读完要做的事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这周上什么男装货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这周上什么女装货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{{N}}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页数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12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至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15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页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12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至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15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页</w:t>
            </w:r>
          </w:p>
        </w:tc>
      </w:tr>
    </w:tbl>
    <w:p>
      <w:bookmarkStart w:id="13" w:name="_Toc_section_5"/>
      <w:bookmarkStart w:id="4" w:name="section-5"/>
      <w:pPr>
        <w:pStyle w:val="Heading2"/>
        <w:spacing w:line="312" w:lineRule="auto"/>
        <w:jc w:val="left"/>
      </w:pPr>
      <w:bookmarkEnd w:id="4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五、单页提示词模板（定要点）</w:t>
      </w:r>
      <w:bookmarkEnd w:id="13"/>
    </w:p>
    <w:p>
      <w:pPr>
        <w:jc w:val="left"/>
      </w:pPr>
      <w:r>
        <w:rPr>
          <w:rFonts w:ascii="微软雅黑" w:eastAsia="微软雅黑" w:hAnsi="微软雅黑" w:cs="微软雅黑" w:hint="eastAsia"/>
          <w:sz w:val="22"/>
          <w:lang w:eastAsia="zh-CN"/>
        </w:rPr>
        <w:t>骨架完全不变，只换页码与桶名。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8640"/>
      </w:tblGrid>
      <w:tr>
        <w:tc>
          <w:tcPr>
            <w:tcW w:type="dxa" w:w="86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92" w:type="dxa"/>
              <w:bottom w:w="19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11827"/>
                <w:sz w:val="18"/>
              </w:rPr>
              <w:t>可直接复制的提示词</w:t>
            </w:r>
          </w:p>
        </w:tc>
      </w:tr>
      <w:tr>
        <w:tc>
          <w:tcPr>
            <w:tcW w:type="dxa" w:w="86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92" w:type="dxa"/>
              <w:bottom w:w="19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基于素材第【</w:t>
            </w:r>
            <w:r>
              <w:rPr>
                <w:sz w:val="18"/>
              </w:rPr>
              <w:t>{{</w:t>
            </w:r>
            <w:r>
              <w:rPr>
                <w:sz w:val="18"/>
              </w:rPr>
              <w:t>出处</w:t>
            </w:r>
            <w:r>
              <w:rPr>
                <w:sz w:val="18"/>
              </w:rPr>
              <w:t>}}</w:t>
            </w:r>
            <w:r>
              <w:rPr>
                <w:sz w:val="18"/>
              </w:rPr>
              <w:t>】页，为第</w:t>
            </w:r>
            <w:r>
              <w:rPr>
                <w:sz w:val="18"/>
              </w:rPr>
              <w:t xml:space="preserve"> N </w:t>
            </w:r>
            <w:r>
              <w:rPr>
                <w:sz w:val="18"/>
              </w:rPr>
              <w:t>页「</w:t>
            </w:r>
            <w:r>
              <w:rPr>
                <w:sz w:val="18"/>
              </w:rPr>
              <w:t>{{</w:t>
            </w:r>
            <w:r>
              <w:rPr>
                <w:sz w:val="18"/>
              </w:rPr>
              <w:t>标题</w:t>
            </w:r>
            <w:r>
              <w:rPr>
                <w:sz w:val="18"/>
              </w:rPr>
              <w:t>}}</w:t>
            </w:r>
            <w:r>
              <w:rPr>
                <w:sz w:val="18"/>
              </w:rPr>
              <w:t>」生成要点，严格遵守：</w:t>
            </w:r>
            <w:r>
              <w:rPr>
                <w:sz w:val="18"/>
              </w:rPr>
              <w:t xml:space="preserve"> </w:t>
            </w:r>
          </w:p>
          <w:p>
            <w:pPr>
              <w:pStyle w:val="ListNumber"/>
              <w:numPr>
                <w:ilvl w:val="0"/>
                <w:numId w:val="11"/>
              </w:numPr>
              <w:jc w:val="left"/>
              <w:spacing w:line="240" w:lineRule="auto" w:before="45" w:after="45"/>
            </w:pPr>
            <w:r>
              <w:rPr>
                <w:sz w:val="18"/>
              </w:rPr>
              <w:t>摘取证据：只用原文数字、榜单、术语，禁止编造；</w:t>
            </w:r>
          </w:p>
          <w:p>
            <w:pPr>
              <w:pStyle w:val="ListNumber"/>
              <w:numPr>
                <w:ilvl w:val="0"/>
                <w:numId w:val="11"/>
              </w:numPr>
              <w:jc w:val="left"/>
              <w:spacing w:line="240" w:lineRule="auto" w:before="45" w:after="45"/>
            </w:pPr>
            <w:r>
              <w:rPr>
                <w:sz w:val="18"/>
              </w:rPr>
              <w:t>归入</w:t>
            </w:r>
            <w:r>
              <w:rPr>
                <w:sz w:val="18"/>
              </w:rPr>
              <w:t>{{</w:t>
            </w:r>
            <w:r>
              <w:rPr>
                <w:sz w:val="18"/>
              </w:rPr>
              <w:t>领域框架的桶</w:t>
            </w:r>
            <w:r>
              <w:rPr>
                <w:sz w:val="18"/>
              </w:rPr>
              <w:t>}}</w:t>
            </w:r>
            <w:r>
              <w:rPr>
                <w:sz w:val="18"/>
              </w:rPr>
              <w:t>，不属于任何一桶的句子删掉；</w:t>
            </w:r>
          </w:p>
          <w:p>
            <w:pPr>
              <w:pStyle w:val="ListNumber"/>
              <w:numPr>
                <w:ilvl w:val="0"/>
                <w:numId w:val="11"/>
              </w:numPr>
              <w:jc w:val="left"/>
              <w:spacing w:line="240" w:lineRule="auto" w:before="45" w:after="45"/>
            </w:pPr>
            <w:r>
              <w:rPr>
                <w:sz w:val="18"/>
              </w:rPr>
              <w:t>下可执行判断：每条落到阈值、比例或节奏，并标明这是推演；</w:t>
            </w:r>
          </w:p>
          <w:p>
            <w:pPr>
              <w:pStyle w:val="ListNumber"/>
              <w:numPr>
                <w:ilvl w:val="0"/>
                <w:numId w:val="11"/>
              </w:numPr>
              <w:jc w:val="left"/>
              <w:spacing w:line="240" w:lineRule="auto" w:before="45" w:after="45"/>
            </w:pPr>
            <w:r>
              <w:rPr>
                <w:sz w:val="18"/>
              </w:rPr>
              <w:t>语言为</w:t>
            </w:r>
            <w:r>
              <w:rPr>
                <w:sz w:val="18"/>
              </w:rPr>
              <w:t>{{</w:t>
            </w:r>
            <w:r>
              <w:rPr>
                <w:sz w:val="18"/>
              </w:rPr>
              <w:t>岗位</w:t>
            </w:r>
            <w:r>
              <w:rPr>
                <w:sz w:val="18"/>
              </w:rPr>
              <w:t>}}</w:t>
            </w:r>
            <w:r>
              <w:rPr>
                <w:sz w:val="18"/>
              </w:rPr>
              <w:t>可执行的口语化短句，单条不超过</w:t>
            </w:r>
            <w:r>
              <w:rPr>
                <w:sz w:val="18"/>
              </w:rPr>
              <w:t xml:space="preserve"> 40 </w:t>
            </w:r>
            <w:r>
              <w:rPr>
                <w:sz w:val="18"/>
              </w:rPr>
              <w:t>字；</w:t>
            </w:r>
          </w:p>
          <w:p>
            <w:pPr>
              <w:pStyle w:val="ListNumber"/>
              <w:numPr>
                <w:ilvl w:val="0"/>
                <w:numId w:val="11"/>
              </w:numPr>
              <w:jc w:val="left"/>
              <w:spacing w:line="240" w:lineRule="auto" w:before="45" w:after="45"/>
            </w:pPr>
            <w:r>
              <w:rPr>
                <w:sz w:val="18"/>
              </w:rPr>
              <w:t>输出：标题、副标题、要点列表（含出处）。</w:t>
            </w:r>
          </w:p>
        </w:tc>
      </w:tr>
    </w:tbl>
    <w:p>
      <w:bookmarkStart w:id="14" w:name="_Toc_section_6"/>
      <w:bookmarkStart w:id="5" w:name="section-6"/>
      <w:pPr>
        <w:pStyle w:val="Heading2"/>
        <w:spacing w:line="312" w:lineRule="auto"/>
        <w:jc w:val="left"/>
      </w:pPr>
      <w:bookmarkEnd w:id="5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六、领域框架层：五类桶与判断阈值</w:t>
      </w:r>
      <w:bookmarkEnd w:id="14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11827"/>
                <w:sz w:val="18"/>
              </w:rPr>
              <w:t>桶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11827"/>
                <w:sz w:val="18"/>
              </w:rPr>
              <w:t>收录什么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11827"/>
                <w:sz w:val="18"/>
              </w:rPr>
              <w:t>判断阈值与规则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赛道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品类在热点、机会、趋势新赛道中的位置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三级货盘按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7:2:1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配置；机会赛道同比增速高于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100%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视为加分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风格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可挂载的趋势风格标签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至少挂上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条趋势风格，优先叠加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2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条；无风格标签的货品按白牌处理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卖点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功能词与场景词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功能词取百搭、透气、保暖、显瘦、弹力；场景词取运动、商务、商务休闲、户外、上班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人群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谁穿、属于哪个年龄带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明确区分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18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至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30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岁与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40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岁以上两套货盘；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TGI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大于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100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视为该人群偏好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节点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匹配哪个大促或平台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IP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节点前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45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天定款打样、前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30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天内容铺量、前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15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天达人种草引爆</w:t>
            </w:r>
          </w:p>
        </w:tc>
      </w:tr>
    </w:tbl>
    <w:p>
      <w:pPr>
        <w:spacing w:after="90"/>
        <w:jc w:val="left"/>
        <w:pBdr>
          <w:left w:val="single" w:sz="18" w:space="0" w:color="2563EB"/>
        </w:pBdr>
        <w:shd w:val="clear" w:color="auto" w:fill="F3F4F6"/>
      </w:pPr>
      <w:r>
        <w:rPr>
          <w:sz w:val="18"/>
        </w:rPr>
        <w:t xml:space="preserve">  </w:t>
      </w:r>
      <w:r>
        <w:rPr>
          <w:rFonts w:ascii="微软雅黑" w:eastAsia="微软雅黑" w:hAnsi="微软雅黑" w:cs="微软雅黑" w:hint="eastAsia"/>
          <w:sz w:val="18"/>
          <w:lang w:eastAsia="zh-CN"/>
        </w:rPr>
        <w:t>单条货品的总分建议：五个维度各</w:t>
      </w:r>
      <w:r>
        <w:rPr>
          <w:sz w:val="18"/>
        </w:rPr>
        <w:t xml:space="preserve"> 20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分，总分不低于</w:t>
      </w:r>
      <w:r>
        <w:rPr>
          <w:sz w:val="18"/>
        </w:rPr>
        <w:t xml:space="preserve"> 80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分直接量产，</w:t>
      </w:r>
      <w:r>
        <w:rPr>
          <w:sz w:val="18"/>
        </w:rPr>
        <w:t xml:space="preserve">60 </w:t>
      </w:r>
      <w:r>
        <w:rPr>
          <w:rFonts w:ascii="微软雅黑" w:eastAsia="微软雅黑" w:hAnsi="微软雅黑" w:cs="微软雅黑" w:hint="eastAsia"/>
          <w:sz w:val="18"/>
          <w:lang w:eastAsia="zh-CN"/>
        </w:rPr>
        <w:t>至</w:t>
      </w:r>
      <w:r>
        <w:rPr>
          <w:sz w:val="18"/>
        </w:rPr>
        <w:t xml:space="preserve"> 80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分小批量测款，低于</w:t>
      </w:r>
      <w:r>
        <w:rPr>
          <w:sz w:val="18"/>
        </w:rPr>
        <w:t xml:space="preserve"> 60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分放弃或等待更强内容信号。</w:t>
      </w:r>
    </w:p>
    <w:p>
      <w:bookmarkStart w:id="15" w:name="_Toc_section_7"/>
      <w:bookmarkStart w:id="6" w:name="section-7"/>
      <w:pPr>
        <w:pStyle w:val="Heading2"/>
        <w:spacing w:line="312" w:lineRule="auto"/>
        <w:jc w:val="left"/>
      </w:pPr>
      <w:bookmarkEnd w:id="6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七、什么时候需要替换领域框架层</w:t>
      </w:r>
      <w:bookmarkEnd w:id="15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11827"/>
                <w:sz w:val="18"/>
              </w:rPr>
              <w:t>变化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11827"/>
                <w:sz w:val="18"/>
              </w:rPr>
              <w:t>处理方式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同领域换品类（男装改为女装、宠物用品、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3C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配件）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只改变量层；桶名与阈值沿用，节点桶换成该品类的大促节奏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换主题类型（选品改为学术汇报、商业计划书、项目复盘）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替换领域框架层：决策链从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上什么货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变为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论证什么、说服谁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，桶与阈值整套替换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换素材形态（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PDF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报告改为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Excel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数据、访谈录音、竞品页面）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骨架与领域框架层不变，改写取证方式，例如把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只用原文数字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改为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只用表内字段口径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”</w:t>
            </w:r>
          </w:p>
        </w:tc>
      </w:tr>
    </w:tbl>
    <w:p>
      <w:bookmarkStart w:id="16" w:name="_Toc_section_8"/>
      <w:bookmarkStart w:id="7" w:name="section-8"/>
      <w:pPr>
        <w:pStyle w:val="Heading2"/>
        <w:spacing w:line="312" w:lineRule="auto"/>
        <w:jc w:val="left"/>
      </w:pPr>
      <w:bookmarkEnd w:id="7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八、生成流程六步与质检要点</w:t>
      </w:r>
      <w:bookmarkEnd w:id="16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11827"/>
                <w:sz w:val="18"/>
              </w:rPr>
              <w:t>步骤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11827"/>
                <w:sz w:val="18"/>
              </w:rPr>
              <w:t>动作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11827"/>
                <w:sz w:val="18"/>
              </w:rPr>
              <w:t>产出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1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素材入库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抽取素材为全文文本，去除排版噪声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可检索的纯文本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2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主题定框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确定读者、目标、范围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变量表填写完成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3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内容筛选与打标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按相关度与可操作性过滤，并归入五类桶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带桶标签的证据清单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4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大纲结构设计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把素材叙事线改写为读者决策线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页级大纲（含出处）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5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逐页要点生成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摘取证据、归类、下判断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每页要点与阈值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6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渲染与质检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生成文件并逐页核对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可交付文件</w:t>
            </w:r>
          </w:p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sz w:val="22"/>
          <w:lang w:eastAsia="zh-CN"/>
        </w:rPr>
        <w:t>质检清单：</w:t>
      </w:r>
    </w:p>
    <w:p>
      <w:pPr>
        <w:pStyle w:val="ListBullet"/>
        <w:spacing w:after="66"/>
        <w:jc w:val="left"/>
      </w:pPr>
      <w:r>
        <w:rPr>
          <w:rFonts w:ascii="微软雅黑" w:eastAsia="微软雅黑" w:hAnsi="微软雅黑" w:cs="微软雅黑" w:hint="eastAsia"/>
          <w:sz w:val="22"/>
          <w:lang w:eastAsia="zh-CN"/>
        </w:rPr>
        <w:t>逐页导出图片核对排版；</w:t>
      </w:r>
    </w:p>
    <w:p>
      <w:pPr>
        <w:pStyle w:val="ListBullet"/>
        <w:spacing w:after="66"/>
        <w:jc w:val="left"/>
      </w:pPr>
      <w:r>
        <w:rPr>
          <w:rFonts w:ascii="微软雅黑" w:eastAsia="微软雅黑" w:hAnsi="微软雅黑" w:cs="微软雅黑" w:hint="eastAsia"/>
          <w:sz w:val="22"/>
          <w:lang w:eastAsia="zh-CN"/>
        </w:rPr>
        <w:t>检查标签与文字是否重叠；</w:t>
      </w:r>
    </w:p>
    <w:p>
      <w:pPr>
        <w:pStyle w:val="ListBullet"/>
        <w:spacing w:after="66"/>
        <w:jc w:val="left"/>
      </w:pPr>
      <w:r>
        <w:rPr>
          <w:rFonts w:ascii="微软雅黑" w:eastAsia="微软雅黑" w:hAnsi="微软雅黑" w:cs="微软雅黑" w:hint="eastAsia"/>
          <w:sz w:val="22"/>
          <w:lang w:eastAsia="zh-CN"/>
        </w:rPr>
        <w:t>核对每个数字与出处页码一致；</w:t>
      </w:r>
    </w:p>
    <w:p>
      <w:pPr>
        <w:pStyle w:val="ListBullet"/>
        <w:spacing w:after="66"/>
        <w:jc w:val="left"/>
      </w:pPr>
      <w:r>
        <w:rPr>
          <w:rFonts w:ascii="微软雅黑" w:eastAsia="微软雅黑" w:hAnsi="微软雅黑" w:cs="微软雅黑" w:hint="eastAsia"/>
          <w:sz w:val="22"/>
          <w:lang w:eastAsia="zh-CN"/>
        </w:rPr>
        <w:t>确认所有推演性判断均已标注。</w:t>
      </w:r>
    </w:p>
    <w:p>
      <w:bookmarkStart w:id="17" w:name="_Toc_section_9"/>
      <w:bookmarkStart w:id="8" w:name="section-9"/>
      <w:pPr>
        <w:pStyle w:val="Heading2"/>
        <w:spacing w:line="312" w:lineRule="auto"/>
        <w:jc w:val="left"/>
      </w:pPr>
      <w:bookmarkEnd w:id="8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九、附：结论与证据的映射示例</w:t>
      </w:r>
      <w:bookmarkEnd w:id="17"/>
    </w:p>
    <w:p>
      <w:pPr>
        <w:jc w:val="left"/>
      </w:pPr>
      <w:r>
        <w:rPr>
          <w:rFonts w:ascii="微软雅黑" w:eastAsia="微软雅黑" w:hAnsi="微软雅黑" w:cs="微软雅黑" w:hint="eastAsia"/>
          <w:sz w:val="22"/>
          <w:lang w:eastAsia="zh-CN"/>
        </w:rPr>
        <w:t>以</w:t>
      </w:r>
      <w:r>
        <w:rPr>
          <w:sz w:val="22"/>
        </w:rPr>
        <w:t>“</w:t>
      </w:r>
      <w:r>
        <w:rPr>
          <w:rFonts w:ascii="微软雅黑" w:eastAsia="微软雅黑" w:hAnsi="微软雅黑" w:cs="微软雅黑" w:hint="eastAsia"/>
          <w:sz w:val="22"/>
          <w:lang w:eastAsia="zh-CN"/>
        </w:rPr>
        <w:t>为什么在抖音选男装</w:t>
      </w:r>
      <w:r>
        <w:rPr>
          <w:sz w:val="22"/>
        </w:rPr>
        <w:t>”</w:t>
      </w:r>
      <w:r>
        <w:rPr>
          <w:rFonts w:ascii="微软雅黑" w:eastAsia="微软雅黑" w:hAnsi="微软雅黑" w:cs="微软雅黑" w:hint="eastAsia"/>
          <w:sz w:val="22"/>
          <w:lang w:eastAsia="zh-CN"/>
        </w:rPr>
        <w:t>一页为例，三条非数据结论并非原文原话，而是跨页拼接的结果。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11827"/>
                <w:sz w:val="18"/>
              </w:rPr>
              <w:t>结论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11827"/>
                <w:sz w:val="18"/>
              </w:rPr>
              <w:t>证据来源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消费升级与理性并存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报告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P5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：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60%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用户月消费不足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1000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元，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40%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愿花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1000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元以上，近半数消费升级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男装需求位列品类前四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报告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P8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：男装内容播放量同比正增长，需求量排在服饰品类前四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供给成熟、上新更便宜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报告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P7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：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20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万家以上纺织制造商家与核心产业带；报告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P66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：新品即新生意，抖音打爆周期更短、成本更低</w:t>
            </w:r>
          </w:p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sz w:val="22"/>
          <w:lang w:eastAsia="zh-CN"/>
        </w:rPr>
        <w:t>这张映射表本身可以随</w:t>
      </w:r>
      <w:r>
        <w:rPr>
          <w:sz w:val="22"/>
        </w:rPr>
        <w:t xml:space="preserve"> PPT </w:t>
      </w:r>
      <w:r>
        <w:rPr>
          <w:rFonts w:ascii="微软雅黑" w:eastAsia="微软雅黑" w:hAnsi="微软雅黑" w:cs="微软雅黑" w:hint="eastAsia"/>
          <w:sz w:val="22"/>
          <w:lang w:eastAsia="zh-CN"/>
        </w:rPr>
        <w:t>一并交付，便于评审者核对结论是否有据。</w:t>
      </w:r>
    </w:p>
    <w:p>
      <w:pPr>
        <w:jc w:val="left"/>
      </w:pPr>
      <w:r>
        <w:rPr>
          <w:rFonts w:ascii="微软雅黑" w:eastAsia="微软雅黑" w:hAnsi="微软雅黑" w:cs="微软雅黑" w:hint="eastAsia"/>
          <w:sz w:val="22"/>
          <w:lang w:eastAsia="zh-CN"/>
        </w:rPr>
        <w:t>模板版本</w:t>
      </w:r>
      <w:r>
        <w:rPr>
          <w:sz w:val="22"/>
        </w:rPr>
        <w:t xml:space="preserve"> v1.0 · </w:t>
      </w:r>
      <w:r>
        <w:rPr>
          <w:rFonts w:ascii="微软雅黑" w:eastAsia="微软雅黑" w:hAnsi="微软雅黑" w:cs="微软雅黑" w:hint="eastAsia"/>
          <w:sz w:val="22"/>
          <w:lang w:eastAsia="zh-CN"/>
        </w:rPr>
        <w:t>首个应用实例：《帮助选品师筛选出抖音男装爆品》</w:t>
      </w:r>
      <w:r>
        <w:rPr>
          <w:sz w:val="22"/>
        </w:rPr>
        <w:t>PPT</w:t>
      </w:r>
      <w:r>
        <w:rPr>
          <w:rFonts w:ascii="微软雅黑" w:eastAsia="微软雅黑" w:hAnsi="微软雅黑" w:cs="微软雅黑" w:hint="eastAsia"/>
          <w:sz w:val="22"/>
          <w:lang w:eastAsia="zh-CN"/>
        </w:rPr>
        <w:t>（数据来源：</w:t>
      </w:r>
      <w:r>
        <w:rPr>
          <w:sz w:val="22"/>
        </w:rPr>
        <w:t xml:space="preserve">2024 </w:t>
      </w:r>
      <w:r>
        <w:rPr>
          <w:rFonts w:ascii="微软雅黑" w:eastAsia="微软雅黑" w:hAnsi="微软雅黑" w:cs="微软雅黑" w:hint="eastAsia"/>
          <w:sz w:val="22"/>
          <w:lang w:eastAsia="zh-CN"/>
        </w:rPr>
        <w:t>抖音服饰行业趋势报告）</w:t>
      </w:r>
      <w:r/>
      <w:r/>
      <w:r/>
    </w:p>
    <w:sectPr w:rsidR="00FC693F" w:rsidRPr="0006063C" w:rsidSect="00034616">
      <w:footerReference w:type="default" r:id="rId9"/>
      <w:pgSz w:w="11906" w:h="16838"/>
      <w:pgMar w:top="1417" w:right="1417" w:bottom="1134" w:left="141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536" w:val="center"/>
        <w:tab w:pos="9072" w:val="right"/>
      </w:tabs>
    </w:pPr>
    <w:r>
      <w:tab/>
    </w:r>
    <w:fldSimple w:instr="PAGE">
      <w:r>
        <w:t/>
      </w:r>
    </w:fldSimple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7" w:lineRule="auto" w:after="120"/>
      <w:jc w:val="left"/>
    </w:pPr>
    <w:rPr>
      <w:rFonts w:ascii="微软雅黑" w:hAnsi="微软雅黑" w:eastAsia="微软雅黑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65" w:lineRule="auto"/>
      <w:outlineLvl w:val="0"/>
    </w:pPr>
    <w:rPr>
      <w:rFonts w:ascii="微软雅黑" w:hAnsi="微软雅黑" w:eastAsia="微软雅黑"/>
      <w:b/>
      <w:bCs/>
      <w:color w:val="11182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80" w:after="120" w:line="265" w:lineRule="auto"/>
      <w:jc w:val="left"/>
      <w:outlineLvl w:val="1"/>
    </w:pPr>
    <w:rPr>
      <w:rFonts w:ascii="微软雅黑" w:hAnsi="微软雅黑" w:eastAsia="微软雅黑"/>
      <w:b/>
      <w:bCs/>
      <w:color w:val="111827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480" w:after="120" w:line="265" w:lineRule="auto"/>
      <w:jc w:val="left"/>
      <w:outlineLvl w:val="2"/>
    </w:pPr>
    <w:rPr>
      <w:rFonts w:ascii="微软雅黑" w:hAnsi="微软雅黑" w:eastAsia="微软雅黑"/>
      <w:b/>
      <w:bCs/>
      <w:color w:val="111827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