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0"/>
        <w:jc w:val="center"/>
      </w:pPr>
      <w:r>
        <w:rPr>
          <w:color w:val="2563EB"/>
          <w:sz w:val="18"/>
        </w:rPr>
      </w:r>
      <w:r>
        <w:rPr>
          <w:rFonts w:ascii="微软雅黑" w:eastAsia="微软雅黑" w:hAnsi="微软雅黑" w:cs="微软雅黑" w:hint="eastAsia"/>
          <w:color w:val="2563EB"/>
          <w:sz w:val="18"/>
          <w:lang w:eastAsia="zh-CN"/>
        </w:rPr>
        <w:t>文档方法论</w:t>
      </w:r>
      <w:r>
        <w:rPr>
          <w:color w:val="2563EB"/>
          <w:sz w:val="18"/>
        </w:rPr>
        <w:t xml:space="preserve"> · </w:t>
      </w:r>
      <w:r>
        <w:rPr>
          <w:rFonts w:ascii="微软雅黑" w:eastAsia="微软雅黑" w:hAnsi="微软雅黑" w:cs="微软雅黑" w:hint="eastAsia"/>
          <w:color w:val="2563EB"/>
          <w:sz w:val="18"/>
          <w:lang w:eastAsia="zh-CN"/>
        </w:rPr>
        <w:t>可复用提示词资产</w:t>
      </w:r>
    </w:p>
    <w:p>
      <w:pPr>
        <w:pStyle w:val="Heading1"/>
        <w:spacing w:line="312" w:lineRule="auto" w:before="960" w:after="240"/>
        <w:jc w:val="center"/>
      </w:pPr>
      <w:r>
        <w:rPr>
          <w:rFonts w:ascii="微软雅黑" w:hAnsi="微软雅黑" w:eastAsia="微软雅黑" w:cs="微软雅黑" w:hint="eastAsia"/>
          <w:b w:val="0"/>
          <w:color w:val="111827"/>
          <w:sz w:val="48"/>
          <w:lang w:eastAsia="zh-CN"/>
        </w:rPr>
        <w:t>Word 文档生成 · 三层提示词模板</w:t>
      </w:r>
    </w:p>
    <w:p>
      <w:pPr>
        <w:spacing w:after="520"/>
        <w:jc w:val="center"/>
      </w:pP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骨架固定</w:t>
      </w:r>
      <w:r>
        <w:rPr>
          <w:color w:val="6B7280"/>
          <w:sz w:val="26"/>
        </w:rPr>
        <w:t xml:space="preserve"> · 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文种可换</w:t>
      </w:r>
      <w:r>
        <w:rPr>
          <w:color w:val="6B7280"/>
          <w:sz w:val="26"/>
        </w:rPr>
        <w:t xml:space="preserve"> · 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变量填槽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适用场景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把行业素材（报告、数据、访谈、竞品资料）转成面向固定读者的专业文档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核心结构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不变骨架层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领域框架层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变量层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配套资产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《选品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PPT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三层提示词模板》，两份模板骨架同构，可合并使用</w:t>
            </w:r>
          </w:p>
        </w:tc>
      </w:tr>
    </w:tbl>
    <w:p>
      <w:pPr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本模板用于内部复用，可随文种变化自由改写变量层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30"/>
        <w:jc w:val="left"/>
      </w:pPr>
      <w:r/>
      <w:r>
        <w:rPr>
          <w:sz w:val="26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一、这份模板解决什么问题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二、三层结构总览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三、全局提示词模板（定大纲）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四、分章提示词模板（定正文）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五、变量填写表（Word 版槽位）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六、领域框架层：五种文种的章节骨架与分桶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七、什么时候需要替换领域框架层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八、生成流水线：通用六步与本机四段落地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九、质检清单与常见坑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十、附：PPT 模板与 Word 模板的差异对照</w:t>
        </w:r>
      </w:hyperlink>
    </w:p>
    <w:p>
      <w:bookmarkStart w:id="10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一、这份模板解决什么问题</w:t>
      </w:r>
      <w:bookmarkEnd w:id="10"/>
    </w:p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提示词模板的价值不在于文字本身，而在于把「每次重新描述需求」变成「每次只填几个槽」。</w:t>
      </w:r>
    </w:p>
    <w:p>
      <w:pPr>
        <w:jc w:val="left"/>
      </w:pPr>
      <w:r>
        <w:rPr>
          <w:sz w:val="22"/>
        </w:rPr>
        <w:t xml:space="preserve">PPT </w:t>
      </w:r>
      <w:r>
        <w:rPr>
          <w:rFonts w:ascii="微软雅黑" w:eastAsia="微软雅黑" w:hAnsi="微软雅黑" w:cs="微软雅黑" w:hint="eastAsia"/>
          <w:sz w:val="22"/>
          <w:lang w:eastAsia="zh-CN"/>
        </w:rPr>
        <w:t>模板处理的是卡片式结论，</w:t>
      </w:r>
      <w:r>
        <w:rPr>
          <w:sz w:val="22"/>
        </w:rPr>
        <w:t xml:space="preserve">Word </w:t>
      </w:r>
      <w:r>
        <w:rPr>
          <w:rFonts w:ascii="微软雅黑" w:eastAsia="微软雅黑" w:hAnsi="微软雅黑" w:cs="微软雅黑" w:hint="eastAsia"/>
          <w:sz w:val="22"/>
          <w:lang w:eastAsia="zh-CN"/>
        </w:rPr>
        <w:t>文档处理的是线性论证。两者难点一致：素材是第三方写的，文档要交付给固定读者群使用；素材的组织方式是作者的叙述顺序，文档的组织方式必须是读者的理解顺序。这个转换是重复劳动，包括压缩无关内容、把叙述改写成论证、把散落在不同章节的证据拼成一条闭环、把判断落到可核对的结论句。</w:t>
      </w:r>
    </w:p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本模板把这项工作固定为三层结构：骨架永不动、领域换文种才换、变量每次只填一次。</w:t>
      </w:r>
    </w:p>
    <w:p>
      <w:bookmarkStart w:id="11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二、三层结构总览</w:t>
      </w:r>
      <w:bookmarkEnd w:id="11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层级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变化频率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不变骨架层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角色设定、输出契约（章节字段、字数预算、出处标注）、金字塔结构原则、禁止编造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永不动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领域框架层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文种的章节骨架、分桶框架、判断阈值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换文种才改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变量层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领域、素材形态、读者、文档主题、范围、字数预算、交付形态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每次改</w:t>
            </w:r>
          </w:p>
        </w:tc>
      </w:tr>
    </w:tbl>
    <w:p>
      <w:pPr>
        <w:spacing w:after="90"/>
        <w:jc w:val="left"/>
        <w:pBdr>
          <w:left w:val="single" w:sz="18" w:space="0" w:color="2563EB"/>
        </w:pBdr>
        <w:shd w:val="clear" w:color="auto" w:fill="F3F4F6"/>
      </w:pPr>
      <w:r>
        <w:rPr>
          <w:sz w:val="18"/>
        </w:rPr>
        <w:t xml:space="preserve">  </w:t>
      </w:r>
      <w:r>
        <w:rPr>
          <w:rFonts w:ascii="微软雅黑" w:eastAsia="微软雅黑" w:hAnsi="微软雅黑" w:cs="微软雅黑" w:hint="eastAsia"/>
          <w:sz w:val="18"/>
          <w:lang w:eastAsia="zh-CN"/>
        </w:rPr>
        <w:t>判断规则只有一句：换掉主题后，读者要做的那个动作有没有变。动作变了就替换领域框架层；动作没变、只是对象变了，就只填变量槽。</w:t>
      </w:r>
    </w:p>
    <w:p>
      <w:bookmarkStart w:id="12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三、全局提示词模板（定大纲）</w:t>
      </w:r>
      <w:bookmarkEnd w:id="12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92" w:type="dxa"/>
              <w:bottom w:w="19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可直接复制的提示词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92" w:type="dxa"/>
              <w:bottom w:w="19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你是</w:t>
            </w:r>
            <w:r>
              <w:rPr>
                <w:sz w:val="18"/>
              </w:rPr>
              <w:t>{{</w:t>
            </w:r>
            <w:r>
              <w:rPr>
                <w:sz w:val="18"/>
              </w:rPr>
              <w:t>领域</w:t>
            </w:r>
            <w:r>
              <w:rPr>
                <w:sz w:val="18"/>
              </w:rPr>
              <w:t>}}</w:t>
            </w:r>
            <w:r>
              <w:rPr>
                <w:sz w:val="18"/>
              </w:rPr>
              <w:t>的文档撰写专家。请阅读我提供的素材（</w:t>
            </w:r>
            <w:r>
              <w:rPr>
                <w:sz w:val="18"/>
              </w:rPr>
              <w:t>{{</w:t>
            </w:r>
            <w:r>
              <w:rPr>
                <w:sz w:val="18"/>
              </w:rPr>
              <w:t>素材形态</w:t>
            </w:r>
            <w:r>
              <w:rPr>
                <w:sz w:val="18"/>
              </w:rPr>
              <w:t>}}</w:t>
            </w:r>
            <w:r>
              <w:rPr>
                <w:sz w:val="18"/>
              </w:rPr>
              <w:t>），为一篇</w:t>
            </w:r>
            <w:r>
              <w:rPr>
                <w:sz w:val="18"/>
              </w:rPr>
              <w:t>{{</w:t>
            </w:r>
            <w:r>
              <w:rPr>
                <w:sz w:val="18"/>
              </w:rPr>
              <w:t>文种</w:t>
            </w:r>
            <w:r>
              <w:rPr>
                <w:sz w:val="18"/>
              </w:rPr>
              <w:t>}}</w:t>
            </w:r>
            <w:r>
              <w:rPr>
                <w:sz w:val="18"/>
              </w:rPr>
              <w:t>生成写作大纲，文档主题是「</w:t>
            </w:r>
            <w:r>
              <w:rPr>
                <w:sz w:val="18"/>
              </w:rPr>
              <w:t>{{</w:t>
            </w:r>
            <w:r>
              <w:rPr>
                <w:sz w:val="18"/>
              </w:rPr>
              <w:t>文档主题</w:t>
            </w:r>
            <w:r>
              <w:rPr>
                <w:sz w:val="18"/>
              </w:rPr>
              <w:t>}}</w:t>
            </w:r>
            <w:r>
              <w:rPr>
                <w:sz w:val="18"/>
              </w:rPr>
              <w:t>」，读者是</w:t>
            </w:r>
            <w:r>
              <w:rPr>
                <w:sz w:val="18"/>
              </w:rPr>
              <w:t>{{</w:t>
            </w:r>
            <w:r>
              <w:rPr>
                <w:sz w:val="18"/>
              </w:rPr>
              <w:t>读者</w:t>
            </w:r>
            <w:r>
              <w:rPr>
                <w:sz w:val="18"/>
              </w:rPr>
              <w:t>}}</w:t>
            </w:r>
            <w:r>
              <w:rPr>
                <w:sz w:val="18"/>
              </w:rPr>
              <w:t>，写作目的是</w:t>
            </w:r>
            <w:r>
              <w:rPr>
                <w:sz w:val="18"/>
              </w:rPr>
              <w:t>{{</w:t>
            </w:r>
            <w:r>
              <w:rPr>
                <w:sz w:val="18"/>
              </w:rPr>
              <w:t>写作目的</w:t>
            </w:r>
            <w:r>
              <w:rPr>
                <w:sz w:val="18"/>
              </w:rPr>
              <w:t>}}</w:t>
            </w:r>
            <w:r>
              <w:rPr>
                <w:sz w:val="18"/>
              </w:rPr>
              <w:t>。</w:t>
            </w:r>
            <w:r>
              <w:rPr>
                <w:sz w:val="18"/>
              </w:rPr>
              <w:t xml:space="preserve"> </w:t>
            </w:r>
          </w:p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要求：</w:t>
            </w:r>
            <w:r>
              <w:rPr>
                <w:sz w:val="18"/>
              </w:rPr>
              <w:t xml:space="preserve"> </w:t>
            </w:r>
          </w:p>
          <w:p>
            <w:pPr>
              <w:pStyle w:val="ListNumber"/>
              <w:numPr>
                <w:ilvl w:val="0"/>
                <w:numId w:val="10"/>
              </w:numPr>
              <w:jc w:val="left"/>
              <w:spacing w:line="240" w:lineRule="auto" w:before="45" w:after="45"/>
            </w:pPr>
            <w:r>
              <w:rPr>
                <w:sz w:val="18"/>
              </w:rPr>
              <w:t>按</w:t>
            </w:r>
            <w:r>
              <w:rPr>
                <w:sz w:val="18"/>
              </w:rPr>
              <w:t>{{</w:t>
            </w:r>
            <w:r>
              <w:rPr>
                <w:sz w:val="18"/>
              </w:rPr>
              <w:t>文种</w:t>
            </w:r>
            <w:r>
              <w:rPr>
                <w:sz w:val="18"/>
              </w:rPr>
              <w:t>}}</w:t>
            </w:r>
            <w:r>
              <w:rPr>
                <w:sz w:val="18"/>
              </w:rPr>
              <w:t>的标准章节骨架组织：</w:t>
            </w:r>
            <w:r>
              <w:rPr>
                <w:sz w:val="18"/>
              </w:rPr>
              <w:t>{{</w:t>
            </w:r>
            <w:r>
              <w:rPr>
                <w:sz w:val="18"/>
              </w:rPr>
              <w:t>章节骨架</w:t>
            </w:r>
            <w:r>
              <w:rPr>
                <w:sz w:val="18"/>
              </w:rPr>
              <w:t>}}</w:t>
            </w:r>
            <w:r>
              <w:rPr>
                <w:sz w:val="18"/>
              </w:rPr>
              <w:t>，不要照抄素材原有的叙述顺序；</w:t>
            </w:r>
          </w:p>
          <w:p>
            <w:pPr>
              <w:pStyle w:val="ListNumber"/>
              <w:numPr>
                <w:ilvl w:val="0"/>
                <w:numId w:val="10"/>
              </w:numPr>
              <w:jc w:val="left"/>
              <w:spacing w:line="240" w:lineRule="auto" w:before="45" w:after="45"/>
            </w:pPr>
            <w:r>
              <w:rPr>
                <w:sz w:val="18"/>
              </w:rPr>
              <w:t>每一节输出四项：节标题（不超过</w:t>
            </w:r>
            <w:r>
              <w:rPr>
                <w:sz w:val="18"/>
              </w:rPr>
              <w:t xml:space="preserve"> 20 </w:t>
            </w:r>
            <w:r>
              <w:rPr>
                <w:sz w:val="18"/>
              </w:rPr>
              <w:t>字）、一句结论句（这一节要证明什么）、</w:t>
            </w: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个支撑点、字数预算；</w:t>
            </w:r>
          </w:p>
          <w:p>
            <w:pPr>
              <w:pStyle w:val="ListNumber"/>
              <w:numPr>
                <w:ilvl w:val="0"/>
                <w:numId w:val="10"/>
              </w:numPr>
              <w:jc w:val="left"/>
              <w:spacing w:line="240" w:lineRule="auto" w:before="45" w:after="45"/>
            </w:pPr>
            <w:r>
              <w:rPr>
                <w:sz w:val="18"/>
              </w:rPr>
              <w:t>每个支撑点标注来源（素材第几页或第几段），没有来源的标注「待补」；</w:t>
            </w:r>
          </w:p>
          <w:p>
            <w:pPr>
              <w:pStyle w:val="ListNumber"/>
              <w:numPr>
                <w:ilvl w:val="0"/>
                <w:numId w:val="10"/>
              </w:numPr>
              <w:jc w:val="left"/>
              <w:spacing w:line="240" w:lineRule="auto" w:before="45" w:after="45"/>
            </w:pPr>
            <w:r>
              <w:rPr>
                <w:sz w:val="18"/>
              </w:rPr>
              <w:t>只保留与</w:t>
            </w:r>
            <w:r>
              <w:rPr>
                <w:sz w:val="18"/>
              </w:rPr>
              <w:t>{{</w:t>
            </w:r>
            <w:r>
              <w:rPr>
                <w:sz w:val="18"/>
              </w:rPr>
              <w:t>范围</w:t>
            </w:r>
            <w:r>
              <w:rPr>
                <w:sz w:val="18"/>
              </w:rPr>
              <w:t>}}</w:t>
            </w:r>
            <w:r>
              <w:rPr>
                <w:sz w:val="18"/>
              </w:rPr>
              <w:t>相关的内容，其他部分剔除；</w:t>
            </w:r>
          </w:p>
          <w:p>
            <w:pPr>
              <w:pStyle w:val="ListNumber"/>
              <w:numPr>
                <w:ilvl w:val="0"/>
                <w:numId w:val="10"/>
              </w:numPr>
              <w:jc w:val="left"/>
              <w:spacing w:line="240" w:lineRule="auto" w:before="45" w:after="45"/>
            </w:pPr>
            <w:r>
              <w:rPr>
                <w:sz w:val="18"/>
              </w:rPr>
              <w:t>区分「素材原文」与「你的推演」，推演必须显式标注；</w:t>
            </w:r>
          </w:p>
          <w:p>
            <w:pPr>
              <w:pStyle w:val="ListNumber"/>
              <w:numPr>
                <w:ilvl w:val="0"/>
                <w:numId w:val="10"/>
              </w:numPr>
              <w:jc w:val="left"/>
              <w:spacing w:line="240" w:lineRule="auto" w:before="45" w:after="45"/>
            </w:pPr>
            <w:r>
              <w:rPr>
                <w:sz w:val="18"/>
              </w:rPr>
              <w:t>全文总字数约</w:t>
            </w:r>
            <w:r>
              <w:rPr>
                <w:sz w:val="18"/>
              </w:rPr>
              <w:t xml:space="preserve"> {{</w:t>
            </w:r>
            <w:r>
              <w:rPr>
                <w:sz w:val="18"/>
              </w:rPr>
              <w:t>字数预算</w:t>
            </w:r>
            <w:r>
              <w:rPr>
                <w:sz w:val="18"/>
              </w:rPr>
              <w:t xml:space="preserve">}} </w:t>
            </w:r>
            <w:r>
              <w:rPr>
                <w:sz w:val="18"/>
              </w:rPr>
              <w:t>字，按各节重要性分配，重要章节不超过全文的三分之一。</w:t>
            </w:r>
            <w:r>
              <w:rPr>
                <w:sz w:val="18"/>
              </w:rPr>
              <w:t xml:space="preserve"> </w:t>
            </w:r>
          </w:p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输出大纲给我确认后再写正文。</w:t>
            </w:r>
          </w:p>
        </w:tc>
      </w:tr>
    </w:tbl>
    <w:p>
      <w:bookmarkStart w:id="13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四、分章提示词模板（定正文）</w:t>
      </w:r>
      <w:bookmarkEnd w:id="13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92" w:type="dxa"/>
              <w:bottom w:w="19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可直接复制的提示词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92" w:type="dxa"/>
              <w:bottom w:w="192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基于素材第【</w:t>
            </w:r>
            <w:r>
              <w:rPr>
                <w:sz w:val="18"/>
              </w:rPr>
              <w:t>{{</w:t>
            </w:r>
            <w:r>
              <w:rPr>
                <w:sz w:val="18"/>
              </w:rPr>
              <w:t>出处</w:t>
            </w:r>
            <w:r>
              <w:rPr>
                <w:sz w:val="18"/>
              </w:rPr>
              <w:t>}}</w:t>
            </w:r>
            <w:r>
              <w:rPr>
                <w:sz w:val="18"/>
              </w:rPr>
              <w:t>】页，撰写第</w:t>
            </w:r>
            <w:r>
              <w:rPr>
                <w:sz w:val="18"/>
              </w:rPr>
              <w:t xml:space="preserve"> {{K}} </w:t>
            </w:r>
            <w:r>
              <w:rPr>
                <w:sz w:val="18"/>
              </w:rPr>
              <w:t>章「</w:t>
            </w:r>
            <w:r>
              <w:rPr>
                <w:sz w:val="18"/>
              </w:rPr>
              <w:t>{{</w:t>
            </w:r>
            <w:r>
              <w:rPr>
                <w:sz w:val="18"/>
              </w:rPr>
              <w:t>章标题</w:t>
            </w:r>
            <w:r>
              <w:rPr>
                <w:sz w:val="18"/>
              </w:rPr>
              <w:t>}}</w:t>
            </w:r>
            <w:r>
              <w:rPr>
                <w:sz w:val="18"/>
              </w:rPr>
              <w:t>」，严格遵守：</w:t>
            </w:r>
            <w:r>
              <w:rPr>
                <w:sz w:val="18"/>
              </w:rPr>
              <w:t xml:space="preserve"> </w:t>
            </w:r>
          </w:p>
          <w:p>
            <w:pPr>
              <w:pStyle w:val="ListNumber"/>
              <w:numPr>
                <w:ilvl w:val="0"/>
                <w:numId w:val="11"/>
              </w:numPr>
              <w:jc w:val="left"/>
              <w:spacing w:line="240" w:lineRule="auto" w:before="45" w:after="45"/>
            </w:pPr>
            <w:r>
              <w:rPr>
                <w:sz w:val="18"/>
              </w:rPr>
              <w:t>首段即结论句，其后每段只承载一个支撑点，段首用主题词开头，不用「首先其次最后」；</w:t>
            </w:r>
          </w:p>
          <w:p>
            <w:pPr>
              <w:pStyle w:val="ListNumber"/>
              <w:numPr>
                <w:ilvl w:val="0"/>
                <w:numId w:val="11"/>
              </w:numPr>
              <w:jc w:val="left"/>
              <w:spacing w:line="240" w:lineRule="auto" w:before="45" w:after="45"/>
            </w:pPr>
            <w:r>
              <w:rPr>
                <w:sz w:val="18"/>
              </w:rPr>
              <w:t>只用素材中的事实、数据、术语与案例，禁止编造；证据缺口用「（待补：需要某某数据）」占位，不要用模糊表述填补；</w:t>
            </w:r>
          </w:p>
          <w:p>
            <w:pPr>
              <w:pStyle w:val="ListNumber"/>
              <w:numPr>
                <w:ilvl w:val="0"/>
                <w:numId w:val="11"/>
              </w:numPr>
              <w:jc w:val="left"/>
              <w:spacing w:line="240" w:lineRule="auto" w:before="45" w:after="45"/>
            </w:pPr>
            <w:r>
              <w:rPr>
                <w:sz w:val="18"/>
              </w:rPr>
              <w:t>每处引用标注来源；属于推演性判断的，在句末加「（推演）」；</w:t>
            </w:r>
          </w:p>
          <w:p>
            <w:pPr>
              <w:pStyle w:val="ListNumber"/>
              <w:numPr>
                <w:ilvl w:val="0"/>
                <w:numId w:val="11"/>
              </w:numPr>
              <w:jc w:val="left"/>
              <w:spacing w:line="240" w:lineRule="auto" w:before="45" w:after="45"/>
            </w:pPr>
            <w:r>
              <w:rPr>
                <w:sz w:val="18"/>
              </w:rPr>
              <w:t>单段</w:t>
            </w:r>
            <w:r>
              <w:rPr>
                <w:sz w:val="18"/>
              </w:rPr>
              <w:t xml:space="preserve"> 80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200 </w:t>
            </w:r>
            <w:r>
              <w:rPr>
                <w:sz w:val="18"/>
              </w:rPr>
              <w:t>字，保持连贯论述，不要用列表符号堆砌；</w:t>
            </w:r>
          </w:p>
          <w:p>
            <w:pPr>
              <w:pStyle w:val="ListNumber"/>
              <w:numPr>
                <w:ilvl w:val="0"/>
                <w:numId w:val="11"/>
              </w:numPr>
              <w:jc w:val="left"/>
              <w:spacing w:line="240" w:lineRule="auto" w:before="45" w:after="45"/>
            </w:pPr>
            <w:r>
              <w:rPr>
                <w:sz w:val="18"/>
              </w:rPr>
              <w:t>本章字数</w:t>
            </w:r>
            <w:r>
              <w:rPr>
                <w:sz w:val="18"/>
              </w:rPr>
              <w:t xml:space="preserve"> {{</w:t>
            </w:r>
            <w:r>
              <w:rPr>
                <w:sz w:val="18"/>
              </w:rPr>
              <w:t>字数预算</w:t>
            </w:r>
            <w:r>
              <w:rPr>
                <w:sz w:val="18"/>
              </w:rPr>
              <w:t xml:space="preserve">}} </w:t>
            </w:r>
            <w:r>
              <w:rPr>
                <w:sz w:val="18"/>
              </w:rPr>
              <w:t>字，允许上下浮动一成；</w:t>
            </w:r>
          </w:p>
          <w:p>
            <w:pPr>
              <w:pStyle w:val="ListNumber"/>
              <w:numPr>
                <w:ilvl w:val="0"/>
                <w:numId w:val="11"/>
              </w:numPr>
              <w:jc w:val="left"/>
              <w:spacing w:line="240" w:lineRule="auto" w:before="45" w:after="45"/>
            </w:pPr>
            <w:r>
              <w:rPr>
                <w:sz w:val="18"/>
              </w:rPr>
              <w:t>输出纯</w:t>
            </w:r>
            <w:r>
              <w:rPr>
                <w:sz w:val="18"/>
              </w:rPr>
              <w:t xml:space="preserve"> markdown</w:t>
            </w:r>
            <w:r>
              <w:rPr>
                <w:sz w:val="18"/>
              </w:rPr>
              <w:t>，不要任何</w:t>
            </w:r>
            <w:r>
              <w:rPr>
                <w:sz w:val="18"/>
              </w:rPr>
              <w:t xml:space="preserve"> HTML </w:t>
            </w:r>
            <w:r>
              <w:rPr>
                <w:sz w:val="18"/>
              </w:rPr>
              <w:t>或样式代码。</w:t>
            </w:r>
          </w:p>
        </w:tc>
      </w:tr>
    </w:tbl>
    <w:p>
      <w:bookmarkStart w:id="14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五、变量填写表（Word 版槽位）</w:t>
      </w:r>
      <w:bookmarkEnd w:id="14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变量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含义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对应的</w:t>
            </w:r>
            <w:r>
              <w:rPr>
                <w:b/>
                <w:color w:val="111827"/>
                <w:sz w:val="18"/>
              </w:rPr>
              <w:t xml:space="preserve"> </w:t>
            </w:r>
            <w:r>
              <w:rPr>
                <w:b/>
                <w:color w:val="111827"/>
                <w:sz w:val="18"/>
              </w:rPr>
              <w:t xml:space="preserve"> PPT </w:t>
            </w:r>
            <w:r>
              <w:rPr>
                <w:b/>
                <w:color w:val="111827"/>
                <w:sz w:val="18"/>
              </w:rPr>
              <w:t xml:space="preserve"> </w:t>
            </w:r>
            <w:r>
              <w:rPr>
                <w:b/>
                <w:color w:val="111827"/>
                <w:sz w:val="18"/>
              </w:rPr>
              <w:t>模板槽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本项目示例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{{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领域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}}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所属业务领域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{{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领域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}}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选品方法论与电商运营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{{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素材形态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}}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素材类型与来源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{{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素材形态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}}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已确认的方法论文本，无外部检索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{{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文种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}}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文档体裁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无对应，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Word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新增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方法模板类说明文档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{{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读者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}}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文档服务对象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{{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岗位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}}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选品师与内容运营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{{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文档主题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}}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要写清的题目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{{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对象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}}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从行业素材生成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Word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文档的提示词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{{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范围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}}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保留边界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{{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范围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}}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文档生成流程与提示词，不含工具部署细节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{{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章节骨架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}}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章节顺序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{{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决策链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}}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问题到结构、模板、变量、框架、流水线、质检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{{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写作目的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}}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读者读完要能做什么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{{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动作问题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}}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能自己写出并跑通一份文档生成提示词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{{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字数预算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}}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全文目标字数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{{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页数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N}}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3000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3500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字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{{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交付形态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}}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输出文件类型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无对应，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Word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新增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本地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docx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A4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，带封面与目录</w:t>
            </w:r>
          </w:p>
        </w:tc>
      </w:tr>
    </w:tbl>
    <w:p>
      <w:bookmarkStart w:id="15" w:name="_Toc_section_6"/>
      <w:bookmarkStart w:id="5" w:name="section-6"/>
      <w:pPr>
        <w:pStyle w:val="Heading2"/>
        <w:spacing w:line="312" w:lineRule="auto"/>
        <w:jc w:val="left"/>
      </w:pPr>
      <w:bookmarkEnd w:id="5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六、领域框架层：五种文种的章节骨架与分桶</w:t>
      </w:r>
      <w:bookmarkEnd w:id="15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文种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章节骨架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分桶框架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质检重点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行业研报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摘要、背景、现状、驱动、趋势、风险、建议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市场规模、增速、竞争格局、政策、技术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数据可溯源、图表编号连续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商业方案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背景、目标、方案、实施、资源、收益、风险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痛点、方案、里程碑、预算、投入产出比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可落地、时间与责任到人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复盘报告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结论、结果、归因、差距、改进、下一步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目标值、实际值、差异、原因、措施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目标与结果能对数、归因不回避责任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SOP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手册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目的、范围、职责、步骤、异常、附录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前置条件、操作步骤、校验点、异常处理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步骤可执行、编号连续无跳级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研究报告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引言、文献、方法、结果、讨论、结论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问题、方法、证据、局限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引用规范、逻辑闭环</w:t>
            </w:r>
          </w:p>
        </w:tc>
      </w:tr>
    </w:tbl>
    <w:p>
      <w:pPr>
        <w:spacing w:after="90"/>
        <w:jc w:val="left"/>
        <w:pBdr>
          <w:left w:val="single" w:sz="18" w:space="0" w:color="2563EB"/>
        </w:pBdr>
        <w:shd w:val="clear" w:color="auto" w:fill="F3F4F6"/>
      </w:pPr>
      <w:r>
        <w:rPr>
          <w:sz w:val="18"/>
        </w:rPr>
        <w:t xml:space="preserve">  </w:t>
      </w:r>
      <w:r>
        <w:rPr>
          <w:rFonts w:ascii="微软雅黑" w:eastAsia="微软雅黑" w:hAnsi="微软雅黑" w:cs="微软雅黑" w:hint="eastAsia"/>
          <w:sz w:val="18"/>
          <w:lang w:eastAsia="zh-CN"/>
        </w:rPr>
        <w:t>使用方式是：先由文种锁定章节骨架与分桶，再让模型把素材内容往桶里装，装不进任何一桶的段落直接删掉。这一步是控制文档不跑题的关键。</w:t>
      </w:r>
    </w:p>
    <w:p>
      <w:bookmarkStart w:id="16" w:name="_Toc_section_7"/>
      <w:bookmarkStart w:id="6" w:name="section-7"/>
      <w:pPr>
        <w:pStyle w:val="Heading2"/>
        <w:spacing w:line="312" w:lineRule="auto"/>
        <w:jc w:val="left"/>
      </w:pPr>
      <w:bookmarkEnd w:id="6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七、什么时候需要替换领域框架层</w:t>
      </w:r>
      <w:bookmarkEnd w:id="16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变化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处理方式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换文种（复盘报告改为商业方案、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SOP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手册）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必须替换领域框架层：章节骨架、分桶、阈值整套更换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同文种换行业（电商复盘改为制造业复盘）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只改变量层；骨架与分桶沿用，分桶内的具体指标换成该行业口径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换素材形态（报告改为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Excel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数据、访谈记录、竞品页面）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骨架与领域层不变，改写取证方式，例如把「只用原文数字」改为「只用表内字段口径」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换交付形态（本地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docx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改为在线文档、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PDF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只改输出契约中的格式条款，内容与结构不动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判据与</w:t>
      </w:r>
      <w:r>
        <w:rPr>
          <w:sz w:val="22"/>
        </w:rPr>
        <w:t xml:space="preserve"> PPT </w:t>
      </w:r>
      <w:r>
        <w:rPr>
          <w:rFonts w:ascii="微软雅黑" w:eastAsia="微软雅黑" w:hAnsi="微软雅黑" w:cs="微软雅黑" w:hint="eastAsia"/>
          <w:sz w:val="22"/>
          <w:lang w:eastAsia="zh-CN"/>
        </w:rPr>
        <w:t>模板一致：读者要做的动作有没有变。这个判据跨文种都成立，可以长期沿用。</w:t>
      </w:r>
    </w:p>
    <w:p>
      <w:bookmarkStart w:id="17" w:name="_Toc_section_8"/>
      <w:bookmarkStart w:id="7" w:name="section-8"/>
      <w:pPr>
        <w:pStyle w:val="Heading2"/>
        <w:spacing w:line="312" w:lineRule="auto"/>
        <w:jc w:val="left"/>
      </w:pPr>
      <w:bookmarkEnd w:id="7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八、生成流水线：通用六步与本机四段落地</w:t>
      </w:r>
      <w:bookmarkEnd w:id="17"/>
    </w:p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通用六步适用于任何工具：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步骤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动作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产出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素材入库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把素材转为可检索的纯文本或结构化字段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可检索的全文文本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文体定框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确定文种、读者、目的、范围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变量表填写完成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筛选打标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按相关度过滤，并归入分桶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带桶标签的证据清单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大纲分章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改写为读者理解顺序，给每节一句结论句与字数预算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三级标题大纲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逐节撰写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结论先行、证据支撑、缺口占位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分章正文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排版质检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套版式、过门禁、转格式、打开核对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可交付文件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本机落地的四段流水线，核心设计是内容与版式分离，任何一段不满意都可以单独重跑：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阶段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执行角色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做什么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产物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S0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路由与建档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编排层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判定从零创作、基于已有文档修改还是仅排版美化，建立独立工作目录与状态文件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目录与状态记录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S1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创作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写作角色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先匹配领域专家，未命中则走通用兜底，产出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markdown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终稿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内容终稿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S2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排版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排版角色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选主题令牌，套版式模板生成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HTML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，过质量门禁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排版稿与主题令牌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S3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转换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转换角色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HTML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高保真转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DOCX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，设定页面尺寸与页边距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最终交付文件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这样拆分的理由很直接：如果让模型一次写出带格式的</w:t>
      </w:r>
      <w:r>
        <w:rPr>
          <w:sz w:val="22"/>
        </w:rPr>
        <w:t xml:space="preserve"> docx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，它要同时兼顾内容质量与样式细节，两边都会打折。拆开之后，内容不满意只重跑</w:t>
      </w:r>
      <w:r>
        <w:rPr>
          <w:sz w:val="22"/>
        </w:rPr>
        <w:t xml:space="preserve"> S1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，版式不满意只重跑</w:t>
      </w:r>
      <w:r>
        <w:rPr>
          <w:sz w:val="22"/>
        </w:rPr>
        <w:t xml:space="preserve"> S2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，格式细节不满意只重跑</w:t>
      </w:r>
      <w:r>
        <w:rPr>
          <w:sz w:val="22"/>
        </w:rPr>
        <w:t xml:space="preserve"> S3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。</w:t>
      </w:r>
    </w:p>
    <w:p>
      <w:bookmarkStart w:id="18" w:name="_Toc_section_9"/>
      <w:bookmarkStart w:id="8" w:name="section-9"/>
      <w:pPr>
        <w:pStyle w:val="Heading2"/>
        <w:spacing w:line="312" w:lineRule="auto"/>
        <w:jc w:val="left"/>
      </w:pPr>
      <w:bookmarkEnd w:id="8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九、质检清单与常见坑</w:t>
      </w:r>
      <w:bookmarkEnd w:id="18"/>
    </w:p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交付前逐条核对：</w:t>
      </w:r>
    </w:p>
    <w:p>
      <w:pPr>
        <w:pStyle w:val="ListBullet"/>
        <w:spacing w:after="66"/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标题层级不跳级，正文从二级标题开始，全文只有一个一级标题；</w:t>
      </w:r>
    </w:p>
    <w:p>
      <w:pPr>
        <w:pStyle w:val="ListBullet"/>
        <w:spacing w:after="66"/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字数达标且在预算浮动范围内，各章比例与大纲一致；</w:t>
      </w:r>
    </w:p>
    <w:p>
      <w:pPr>
        <w:pStyle w:val="ListBullet"/>
        <w:spacing w:after="66"/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表格与列表可用，单元格内没有超长段落；</w:t>
      </w:r>
    </w:p>
    <w:p>
      <w:pPr>
        <w:pStyle w:val="ListBullet"/>
        <w:spacing w:after="66"/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排版样式统一走变量，不出现裸写的间距与字号；</w:t>
      </w:r>
    </w:p>
    <w:p>
      <w:pPr>
        <w:pStyle w:val="ListBullet"/>
        <w:spacing w:after="66"/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所有引用都能在素材中找到出处，推演性判断已标注；</w:t>
      </w:r>
    </w:p>
    <w:p>
      <w:pPr>
        <w:pStyle w:val="ListBullet"/>
        <w:spacing w:after="66"/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目标与结果类数字能相互对齐，不出现前后矛盾。</w:t>
      </w:r>
    </w:p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常见坑有三个：一是把素材当结论直接用，没有转成读者视角的判断；二是用列表替代论证，读起来像清单而不是文档；三是证据缺口用模糊表述填补，看起来完整但经不起追问。</w:t>
      </w:r>
    </w:p>
    <w:p>
      <w:bookmarkStart w:id="19" w:name="_Toc_section_10"/>
      <w:bookmarkStart w:id="9" w:name="section-10"/>
      <w:pPr>
        <w:pStyle w:val="Heading2"/>
        <w:spacing w:line="312" w:lineRule="auto"/>
        <w:jc w:val="left"/>
      </w:pPr>
      <w:bookmarkEnd w:id="9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十、附：PPT 模板与 Word 模板的差异对照</w:t>
      </w:r>
      <w:bookmarkEnd w:id="19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>维度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 xml:space="preserve">PPT </w:t>
            </w:r>
            <w:r>
              <w:rPr>
                <w:b/>
                <w:color w:val="111827"/>
                <w:sz w:val="18"/>
              </w:rPr>
              <w:t xml:space="preserve"> </w:t>
            </w:r>
            <w:r>
              <w:rPr>
                <w:b/>
                <w:color w:val="111827"/>
                <w:sz w:val="18"/>
              </w:rPr>
              <w:t>模板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11827"/>
                <w:sz w:val="18"/>
              </w:rPr>
              <w:t xml:space="preserve">Word </w:t>
            </w:r>
            <w:r>
              <w:rPr>
                <w:b/>
                <w:color w:val="111827"/>
                <w:sz w:val="18"/>
              </w:rPr>
              <w:t xml:space="preserve"> </w:t>
            </w:r>
            <w:r>
              <w:rPr>
                <w:b/>
                <w:color w:val="111827"/>
                <w:sz w:val="18"/>
              </w:rPr>
              <w:t>模板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阅读方式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跳读，每页一个结论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线性深读，需要连贯论证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结构单位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页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章、节、条三级标题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内容密度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每页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条要点，单条不超过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字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每节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800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字，段落完整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首句要求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副标题即结论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每节首段即结论句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领域层核心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决策链与五类桶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章节骨架与分桶框架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变量层差异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有页数，无字数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有字数预算，无页数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质检重点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页面不溢出、图元不重叠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层级不跳级、字数达标、引用可溯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复用方式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换品类改数据卡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192" w:type="dxa"/>
              <w:right w:w="192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换文种改章节骨架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两份模板的骨架层完全同构，可以合起来当作一套资产使用：同一个主题先出</w:t>
      </w:r>
      <w:r>
        <w:rPr>
          <w:sz w:val="22"/>
        </w:rPr>
        <w:t xml:space="preserve"> PPT </w:t>
      </w:r>
      <w:r>
        <w:rPr>
          <w:rFonts w:ascii="微软雅黑" w:eastAsia="微软雅黑" w:hAnsi="微软雅黑" w:cs="微软雅黑" w:hint="eastAsia"/>
          <w:sz w:val="22"/>
          <w:lang w:eastAsia="zh-CN"/>
        </w:rPr>
        <w:t>版做汇报，再出</w:t>
      </w:r>
      <w:r>
        <w:rPr>
          <w:sz w:val="22"/>
        </w:rPr>
        <w:t xml:space="preserve"> Word </w:t>
      </w:r>
      <w:r>
        <w:rPr>
          <w:rFonts w:ascii="微软雅黑" w:eastAsia="微软雅黑" w:hAnsi="微软雅黑" w:cs="微软雅黑" w:hint="eastAsia"/>
          <w:sz w:val="22"/>
          <w:lang w:eastAsia="zh-CN"/>
        </w:rPr>
        <w:t>版做存档，变量槽共用同一张填写表的思路。</w:t>
      </w:r>
    </w:p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模板版本</w:t>
      </w:r>
      <w:r>
        <w:rPr>
          <w:sz w:val="22"/>
        </w:rPr>
        <w:t xml:space="preserve"> v1.0 · </w:t>
      </w:r>
      <w:r>
        <w:rPr>
          <w:rFonts w:ascii="微软雅黑" w:eastAsia="微软雅黑" w:hAnsi="微软雅黑" w:cs="微软雅黑" w:hint="eastAsia"/>
          <w:sz w:val="22"/>
          <w:lang w:eastAsia="zh-CN"/>
        </w:rPr>
        <w:t>配套资产：《选品</w:t>
      </w:r>
      <w:r>
        <w:rPr>
          <w:sz w:val="22"/>
        </w:rPr>
        <w:t xml:space="preserve"> PPT </w:t>
      </w:r>
      <w:r>
        <w:rPr>
          <w:rFonts w:ascii="微软雅黑" w:eastAsia="微软雅黑" w:hAnsi="微软雅黑" w:cs="微软雅黑" w:hint="eastAsia"/>
          <w:sz w:val="22"/>
          <w:lang w:eastAsia="zh-CN"/>
        </w:rPr>
        <w:t>三层提示词模板》</w:t>
      </w:r>
      <w:r>
        <w:rPr>
          <w:sz w:val="22"/>
        </w:rPr>
        <w:t xml:space="preserve">· </w:t>
      </w:r>
      <w:r>
        <w:rPr>
          <w:rFonts w:ascii="微软雅黑" w:eastAsia="微软雅黑" w:hAnsi="微软雅黑" w:cs="微软雅黑" w:hint="eastAsia"/>
          <w:sz w:val="22"/>
          <w:lang w:eastAsia="zh-CN"/>
        </w:rPr>
        <w:t>流水线：内容创作、版式排版、格式转换三段分离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  <w:jc w:val="left"/>
    </w:pPr>
    <w:rPr>
      <w:rFonts w:ascii="微软雅黑" w:hAnsi="微软雅黑" w:eastAsia="微软雅黑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outlineLvl w:val="0"/>
    </w:pPr>
    <w:rPr>
      <w:rFonts w:ascii="微软雅黑" w:hAnsi="微软雅黑" w:eastAsia="微软雅黑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jc w:val="left"/>
      <w:outlineLvl w:val="1"/>
    </w:pPr>
    <w:rPr>
      <w:rFonts w:ascii="微软雅黑" w:hAnsi="微软雅黑" w:eastAsia="微软雅黑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jc w:val="left"/>
      <w:outlineLvl w:val="2"/>
    </w:pPr>
    <w:rPr>
      <w:rFonts w:ascii="微软雅黑" w:hAnsi="微软雅黑" w:eastAsia="微软雅黑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