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0"/>
        </w:rPr>
        <w:t>CS4928 Project P26: Pull-Request Change Impact for Code Review</w:t>
      </w:r>
    </w:p>
    <w:p>
      <w:pPr>
        <w:spacing w:after="120"/>
        <w:jc w:val="center"/>
      </w:pPr>
      <w:r>
        <w:rPr>
          <w:rFonts w:ascii="Calibri" w:hAnsi="Calibri"/>
          <w:i/>
          <w:sz w:val="21"/>
        </w:rPr>
        <w:t>Primary | B. Architecture, Smells &amp; Software Evolution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88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8568"/>
            <w:vAlign w:val="center"/>
            <w:shd w:fill="E7E6E6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Details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Assigned study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Göçmen et al., “Enhanced code reviews using pull request based change impact analysis”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Venue / year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Empirical Software Engineering (2025)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Language route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Java direct preferred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Expected setup</w:t>
            </w:r>
          </w:p>
        </w:tc>
        <w:tc>
          <w:tcPr>
            <w:tcW w:type="dxa" w:w="85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</w:tr>
    </w:tbl>
    <w:p>
      <w:r>
        <w:rPr>
          <w:b/>
        </w:rPr>
        <w:t xml:space="preserve">Paper: </w:t>
      </w:r>
      <w:hyperlink r:id="rId9">
        <w:r>
          <w:rPr>
            <w:color w:val="0563C1"/>
            <w:u w:val="single"/>
          </w:rPr>
          <w:t>https://link.springer.com/article/10.1007/s10664-024-10600-2</w:t>
        </w:r>
      </w:hyperlink>
    </w:p>
    <w:p>
      <w:r>
        <w:rPr>
          <w:b/>
        </w:rPr>
        <w:t xml:space="preserve">Authors' replication package: </w:t>
      </w:r>
      <w:hyperlink r:id="rId10">
        <w:r>
          <w:rPr>
            <w:color w:val="0563C1"/>
            <w:u w:val="single"/>
          </w:rPr>
          <w:t>https://doi.org/10.6084/m9.figshare.27643755.v1</w:t>
        </w:r>
      </w:hyperlink>
    </w:p>
    <w:p>
      <w:pPr>
        <w:pStyle w:val="Heading1"/>
      </w:pPr>
      <w:r>
        <w:t>Your bounded starting task</w:t>
      </w:r>
    </w:p>
    <w:p>
      <w:r>
        <w:rPr>
          <w:i w:val="0"/>
        </w:rPr>
        <w:t>For 10 historical PRs in one Java project, reproduce the paper’s core idea at bounded scale by calculating changed files, directly impacted dependencies and a simple history/risk score. Compare the ranking with actual review/bug evidence where available.</w:t>
      </w:r>
    </w:p>
    <w:p>
      <w:r>
        <w:rPr>
          <w:i w:val="0"/>
        </w:rPr>
        <w:t>Sampling/freeze rule: before the main M2 analysis, record the exact case/project/file identifiers used. Unless the bounded task names a different exact set, take the first 10 eligible items in stable order (case ID, then file path, then chronological ID). Do not choose examples because they produce a preferred result. If fewer than 10 eligible items exist, use all and record that fact.</w:t>
      </w:r>
    </w:p>
    <w:p>
      <w:pPr>
        <w:pStyle w:val="Heading1"/>
      </w:pPr>
      <w:r>
        <w:t>Recommended research questions</w:t>
      </w:r>
    </w:p>
    <w:p>
      <w:pPr>
        <w:pStyle w:val="ListBullet"/>
        <w:spacing w:after="20"/>
      </w:pPr>
      <w:r>
        <w:t>RQ1. Can PR-level change-impact ranking be reproduced on the selected project?</w:t>
      </w:r>
    </w:p>
    <w:p>
      <w:pPr>
        <w:pStyle w:val="ListBullet"/>
        <w:spacing w:after="20"/>
      </w:pPr>
      <w:r>
        <w:t>RQ2. Which high-risk predictions correspond to real review/defect evidence?</w:t>
      </w:r>
    </w:p>
    <w:p>
      <w:r>
        <w:rPr>
          <w:i w:val="0"/>
        </w:rPr>
        <w:t>You may refine wording during Lab 3 so the RQs match your exact bounded unit of analysis. Keep two RQs unless a third one is clearly necessary and manageable.</w:t>
      </w:r>
    </w:p>
    <w:p>
      <w:pPr>
        <w:pStyle w:val="Heading1"/>
      </w:pPr>
      <w:r>
        <w:t>Week 5: what to do first</w:t>
      </w:r>
    </w:p>
    <w:p>
      <w:pPr>
        <w:pStyle w:val="ListNumber"/>
        <w:spacing w:after="40"/>
      </w:pPr>
      <w:r>
        <w:t>Open the paper and linked artefact; locate the paper section/RQ/result that your bounded task corresponds to.</w:t>
      </w:r>
    </w:p>
    <w:p>
      <w:pPr>
        <w:pStyle w:val="ListNumber"/>
        <w:spacing w:after="40"/>
      </w:pPr>
      <w:r>
        <w:t>Confirm the bounded sample identifiers and enter them in the shared group workbook before running the main analysis.</w:t>
      </w:r>
    </w:p>
    <w:p>
      <w:pPr>
        <w:pStyle w:val="ListNumber"/>
        <w:spacing w:after="40"/>
      </w:pPr>
      <w:r>
        <w:t>Freeze RQ1/RQ2, method, metric/decision rule, expected result and non-reproduction condition.</w:t>
      </w:r>
    </w:p>
    <w:p>
      <w:pPr>
        <w:pStyle w:val="ListNumber"/>
        <w:spacing w:after="40"/>
      </w:pPr>
      <w:r>
        <w:t>Run only the minimum scripts/builds needed for the bounded target. Do not recreate a large research infrastructure when published data/output directly supports the target.</w:t>
      </w:r>
    </w:p>
    <w:p>
      <w:pPr>
        <w:pStyle w:val="ListNumber"/>
        <w:spacing w:after="40"/>
      </w:pPr>
      <w:r>
        <w:t>Keep raw/intermediate output, script/command version and repository/tag references needed to audit your result.</w:t>
      </w:r>
    </w:p>
    <w:p>
      <w:pPr>
        <w:pStyle w:val="Heading1"/>
      </w:pPr>
      <w:r>
        <w:t>Evidence you must keep</w:t>
      </w:r>
    </w:p>
    <w:p>
      <w:pPr>
        <w:pStyle w:val="ListBullet"/>
        <w:spacing w:after="20"/>
      </w:pPr>
      <w:r>
        <w:t>Exact paper/artefact version or access date and bounded sample IDs.</w:t>
      </w:r>
    </w:p>
    <w:p>
      <w:pPr>
        <w:pStyle w:val="ListBullet"/>
        <w:spacing w:after="20"/>
      </w:pPr>
      <w:r>
        <w:t>Commands/scripts/notebook cells or a clear manual coding rule.</w:t>
      </w:r>
    </w:p>
    <w:p>
      <w:pPr>
        <w:pStyle w:val="ListBullet"/>
        <w:spacing w:after="20"/>
      </w:pPr>
      <w:r>
        <w:t>Raw/intermediate result supporting every quantitative/qualitative claim.</w:t>
      </w:r>
    </w:p>
    <w:p>
      <w:pPr>
        <w:pStyle w:val="ListBullet"/>
        <w:spacing w:after="20"/>
      </w:pPr>
      <w:r>
        <w:t>Any deviation from the paper and the most important threat/limitation.</w:t>
      </w:r>
    </w:p>
    <w:p>
      <w:pPr>
        <w:pStyle w:val="ListBullet"/>
        <w:spacing w:after="20"/>
      </w:pPr>
      <w:r>
        <w:t>Repository commits/tags and tests/verification for any design/refactoring/modernisation work.</w:t>
      </w:r>
    </w:p>
    <w:p>
      <w:pPr>
        <w:pStyle w:val="ListBullet"/>
        <w:spacing w:after="20"/>
      </w:pPr>
      <w:r>
        <w:t>Only brief material AI-use notes when AI changed a decision or result interpretation.</w:t>
      </w:r>
    </w:p>
    <w:p>
      <w:pPr>
        <w:pStyle w:val="Heading1"/>
      </w:pPr>
      <w:r>
        <w:t>Important scope rule</w:t>
      </w:r>
    </w:p>
    <w:p>
      <w:r>
        <w:t>Keep to the bounded task; do not reproduce the whole paper. Use the smallest public artefact route that still answers the RQs. If a genuine external artefact fails, record the failure and follow the module contingency; do not invent results.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.springer.com/article/10.1007/s10664-024-10600-2" TargetMode="External"/><Relationship Id="rId10" Type="http://schemas.openxmlformats.org/officeDocument/2006/relationships/hyperlink" Target="https://doi.org/10.6084/m9.figshare.27643755.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