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CS4928 P26 - Event A</w:t>
      </w:r>
    </w:p>
    <w:p>
      <w:pPr>
        <w:spacing w:after="100"/>
        <w:jc w:val="center"/>
      </w:pPr>
      <w:r>
        <w:rPr>
          <w:b/>
          <w:color w:val="000000"/>
          <w:sz w:val="22"/>
        </w:rPr>
        <w:t>Pull-Request Change Impact for Code Review</w:t>
      </w:r>
    </w:p>
    <w:tbl>
      <w:tblPr>
        <w:tblW w:type="auto" w:w="0"/>
        <w:tblLayout w:type="autofit"/>
        <w:tblLook w:firstColumn="1" w:firstRow="1" w:lastColumn="0" w:lastRow="0" w:noHBand="0" w:noVBand="1" w:val="04A0"/>
      </w:tblPr>
      <w:tblGrid>
        <w:gridCol w:w="10454"/>
      </w:tblGrid>
      <w:tr>
        <w:tc>
          <w:tcPr>
            <w:tcW w:type="dxa" w:w="10454"/>
            <w:tcMar>
              <w:top w:w="60" w:type="dxa"/>
              <w:start w:w="80" w:type="dxa"/>
              <w:bottom w:w="60" w:type="dxa"/>
              <w:end w:w="80" w:type="dxa"/>
            </w:tcMar>
          </w:tcPr>
          <w:p>
            <w:pPr>
              <w:spacing w:after="0"/>
            </w:pPr>
            <w:r>
              <w:rPr>
                <w:b/>
              </w:rPr>
              <w:t xml:space="preserve">Before you begin: </w:t>
            </w:r>
            <w:r>
              <w:t>Confirm that your Week 7/M2 bounded reproduction is complete and that your M2 result/evidence and pre-Event-A state are recorded in your group row in the shared student tracker. If not, complete that first. Do not rewrite the M2 result after seeing this event.</w:t>
            </w:r>
          </w:p>
        </w:tc>
      </w:tr>
    </w:tbl>
    <w:p>
      <w:pPr>
        <w:pStyle w:val="Heading1"/>
      </w:pPr>
      <w:r>
        <w:t>Your new challenge</w:t>
      </w:r>
    </w:p>
    <w:p>
      <w:r>
        <w:t>Select five pull requests from a later or previously unused time window in the linked data. Apply the same change-impact/risk rule and record false alarms and missed high-impact changes.</w:t>
      </w:r>
    </w:p>
    <w:p>
      <w:pPr>
        <w:pStyle w:val="Heading1"/>
      </w:pPr>
      <w:r>
        <w:t>What you need to do</w:t>
      </w:r>
    </w:p>
    <w:p>
      <w:pPr>
        <w:spacing w:after="50"/>
        <w:ind w:left="230" w:hanging="230"/>
      </w:pPr>
      <w:r>
        <w:rPr>
          <w:b/>
        </w:rPr>
        <w:t xml:space="preserve">1. </w:t>
      </w:r>
      <w:r>
        <w:t>Before running the event analysis, record the exact held-out cases/project/version/window you will use and enter your Event A prediction in the shared tracker. Also state what outcome would challenge your M2 conclusion.</w:t>
      </w:r>
    </w:p>
    <w:p>
      <w:pPr>
        <w:spacing w:after="50"/>
        <w:ind w:left="230" w:hanging="230"/>
      </w:pPr>
      <w:r>
        <w:rPr>
          <w:b/>
        </w:rPr>
        <w:t xml:space="preserve">2. </w:t>
      </w:r>
      <w:r>
        <w:t>Apply the same M2 method, coding rule, threshold, prompt or decision rule first. Do not retune it after seeing the held-out result. If you later improve the method, preserve and report the frozen first result separately.</w:t>
      </w:r>
    </w:p>
    <w:p>
      <w:pPr>
        <w:spacing w:after="50"/>
        <w:ind w:left="230" w:hanging="230"/>
      </w:pPr>
      <w:r>
        <w:rPr>
          <w:b/>
        </w:rPr>
        <w:t xml:space="preserve">3. </w:t>
      </w:r>
      <w:r>
        <w:t>Compare the Event A result with M2. State clearly what transfers, what does not, and the strongest evidence for that interpretation.</w:t>
      </w:r>
    </w:p>
    <w:p>
      <w:pPr>
        <w:spacing w:after="50"/>
        <w:ind w:left="230" w:hanging="230"/>
      </w:pPr>
      <w:r>
        <w:rPr>
          <w:b/>
        </w:rPr>
        <w:t xml:space="preserve">4. </w:t>
      </w:r>
      <w:r>
        <w:t>Identify one software-design, refactoring or maintainability implication using concepts covered in the module so far. Do not introduce a design pattern unless the evidence and design forces justify it.</w:t>
      </w:r>
    </w:p>
    <w:p>
      <w:pPr>
        <w:spacing w:after="50"/>
        <w:ind w:left="230" w:hanging="230"/>
      </w:pPr>
      <w:r>
        <w:rPr>
          <w:b/>
        </w:rPr>
        <w:t xml:space="preserve">5. </w:t>
      </w:r>
      <w:r>
        <w:t>Link the relevant raw/result evidence, repository commit/tag, script, test, table/figure or other locatable artefact in your group row.</w:t>
      </w:r>
    </w:p>
    <w:p>
      <w:pPr>
        <w:pStyle w:val="Heading1"/>
      </w:pPr>
      <w:r>
        <w:t>Record in the shared student tracker</w:t>
      </w:r>
    </w:p>
    <w:p>
      <w:r>
        <w:t>Complete your group’s Event A fields: held-out material/evidence reference, prediction before execution, Event A result/decision, and supporting evidence link. Keep the entry brief; the evidence should live in your repository/workspace, not be pasted into the workbook.</w:t>
      </w:r>
    </w:p>
    <w:p>
      <w:pPr>
        <w:pStyle w:val="Heading1"/>
      </w:pPr>
      <w:r>
        <w:t>Completion check</w:t>
      </w:r>
    </w:p>
    <w:p>
      <w:r>
        <w:t>You are finished when another technically competent person can see what you predicted, exactly what unseen material you used, the frozen method you applied, the result you obtained, and the evidence supporting your conclusion.</w:t>
      </w:r>
    </w:p>
    <w:sectPr w:rsidR="00FC693F" w:rsidRPr="0006063C" w:rsidSect="00034616">
      <w:pgSz w:w="12240" w:h="15840"/>
      <w:pgMar w:top="749"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00"/>
      <w:contextualSpacing/>
    </w:pPr>
    <w:rPr>
      <w:rFonts w:asciiTheme="majorHAnsi" w:eastAsiaTheme="majorEastAsia" w:hAnsiTheme="majorHAnsi" w:cstheme="majorBidi" w:ascii="Calibri" w:hAnsi="Calibri"/>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