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FE8F1E" w14:textId="77777777" w:rsidR="00CF0B61" w:rsidRPr="005239D4" w:rsidRDefault="00000000">
      <w:pPr>
        <w:spacing w:after="80"/>
        <w:rPr>
          <w:lang w:val="es-MX"/>
        </w:rPr>
      </w:pPr>
      <w:r w:rsidRPr="005239D4">
        <w:rPr>
          <w:b/>
          <w:color w:val="003366"/>
          <w:sz w:val="32"/>
          <w:lang w:val="es-MX"/>
        </w:rPr>
        <w:t>VALIDACIÓN METODOLÓGICA DE DOCKING MOLECULAR MEDIANTE REDOCKING DE GINKGOLIC ACID (A1ECX) EN EL DOMINIO C-TERMINAL DE VP30 DEL VIRUS DE ÉBOLA (PDB: 9JQK)</w:t>
      </w:r>
    </w:p>
    <w:p w14:paraId="3BC547FE" w14:textId="77777777" w:rsidR="00CF0B61" w:rsidRPr="005239D4" w:rsidRDefault="00000000">
      <w:pPr>
        <w:spacing w:after="240"/>
        <w:rPr>
          <w:lang w:val="es-MX"/>
        </w:rPr>
      </w:pPr>
      <w:r w:rsidRPr="005239D4">
        <w:rPr>
          <w:i/>
          <w:color w:val="4682B4"/>
          <w:sz w:val="24"/>
          <w:lang w:val="es-MX"/>
        </w:rPr>
        <w:t>Artículo de Práctica y Evidencia de Laboratorio Computacional para Doctorado</w:t>
      </w:r>
    </w:p>
    <w:tbl>
      <w:tblPr>
        <w:tblW w:w="0" w:type="auto"/>
        <w:jc w:val="center"/>
        <w:tblLayout w:type="fixed"/>
        <w:tblLook w:val="04A0" w:firstRow="1" w:lastRow="0" w:firstColumn="1" w:lastColumn="0" w:noHBand="0" w:noVBand="1"/>
      </w:tblPr>
      <w:tblGrid>
        <w:gridCol w:w="4962"/>
        <w:gridCol w:w="4398"/>
      </w:tblGrid>
      <w:tr w:rsidR="00CF0B61" w:rsidRPr="009356E6" w14:paraId="4812B427" w14:textId="77777777" w:rsidTr="005239D4">
        <w:trPr>
          <w:jc w:val="center"/>
        </w:trPr>
        <w:tc>
          <w:tcPr>
            <w:tcW w:w="4962" w:type="dxa"/>
            <w:shd w:val="clear" w:color="auto" w:fill="F9FBFD"/>
            <w:tcMar>
              <w:top w:w="80" w:type="dxa"/>
              <w:left w:w="100" w:type="dxa"/>
              <w:bottom w:w="80" w:type="dxa"/>
              <w:right w:w="100" w:type="dxa"/>
            </w:tcMar>
          </w:tcPr>
          <w:p w14:paraId="1A67A9CD" w14:textId="32FE0EF0" w:rsidR="00CF0B61" w:rsidRPr="005239D4" w:rsidRDefault="00000000">
            <w:pPr>
              <w:rPr>
                <w:lang w:val="es-MX"/>
              </w:rPr>
            </w:pPr>
            <w:r w:rsidRPr="005239D4">
              <w:rPr>
                <w:b/>
                <w:sz w:val="19"/>
                <w:lang w:val="es-MX"/>
              </w:rPr>
              <w:t xml:space="preserve">Estudiante(s): </w:t>
            </w:r>
            <w:r w:rsidR="00092830">
              <w:rPr>
                <w:sz w:val="19"/>
                <w:lang w:val="es-MX"/>
              </w:rPr>
              <w:t>Walter Donaldo Méndez Ordoñez</w:t>
            </w:r>
          </w:p>
        </w:tc>
        <w:tc>
          <w:tcPr>
            <w:tcW w:w="4398" w:type="dxa"/>
            <w:shd w:val="clear" w:color="auto" w:fill="F9FBFD"/>
            <w:tcMar>
              <w:top w:w="80" w:type="dxa"/>
              <w:left w:w="100" w:type="dxa"/>
              <w:bottom w:w="80" w:type="dxa"/>
              <w:right w:w="100" w:type="dxa"/>
            </w:tcMar>
          </w:tcPr>
          <w:p w14:paraId="15E9DEBD" w14:textId="17C692C6" w:rsidR="00CF0B61" w:rsidRPr="005239D4" w:rsidRDefault="00000000">
            <w:pPr>
              <w:rPr>
                <w:lang w:val="es-MX"/>
              </w:rPr>
            </w:pPr>
            <w:r w:rsidRPr="005239D4">
              <w:rPr>
                <w:b/>
                <w:sz w:val="19"/>
                <w:lang w:val="es-MX"/>
              </w:rPr>
              <w:t xml:space="preserve">Programa: </w:t>
            </w:r>
            <w:r w:rsidRPr="005239D4">
              <w:rPr>
                <w:sz w:val="19"/>
                <w:lang w:val="es-MX"/>
              </w:rPr>
              <w:t xml:space="preserve">Doctorado en Ciencias </w:t>
            </w:r>
            <w:r w:rsidR="005239D4" w:rsidRPr="005239D4">
              <w:rPr>
                <w:sz w:val="19"/>
                <w:lang w:val="es-MX"/>
              </w:rPr>
              <w:t>A</w:t>
            </w:r>
            <w:r w:rsidR="005239D4">
              <w:rPr>
                <w:sz w:val="19"/>
                <w:lang w:val="es-MX"/>
              </w:rPr>
              <w:t>groalimentarias.</w:t>
            </w:r>
          </w:p>
        </w:tc>
      </w:tr>
      <w:tr w:rsidR="00CF0B61" w:rsidRPr="009356E6" w14:paraId="3AC475FB" w14:textId="77777777" w:rsidTr="005239D4">
        <w:trPr>
          <w:jc w:val="center"/>
        </w:trPr>
        <w:tc>
          <w:tcPr>
            <w:tcW w:w="4962" w:type="dxa"/>
            <w:shd w:val="clear" w:color="auto" w:fill="F9FBFD"/>
            <w:tcMar>
              <w:top w:w="80" w:type="dxa"/>
              <w:left w:w="100" w:type="dxa"/>
              <w:bottom w:w="80" w:type="dxa"/>
              <w:right w:w="100" w:type="dxa"/>
            </w:tcMar>
          </w:tcPr>
          <w:p w14:paraId="10961E8D" w14:textId="77777777" w:rsidR="00CF0B61" w:rsidRDefault="00000000">
            <w:r>
              <w:rPr>
                <w:b/>
                <w:sz w:val="19"/>
              </w:rPr>
              <w:t xml:space="preserve">Software: </w:t>
            </w:r>
            <w:proofErr w:type="spellStart"/>
            <w:r>
              <w:rPr>
                <w:sz w:val="19"/>
              </w:rPr>
              <w:t>PyMOL</w:t>
            </w:r>
            <w:proofErr w:type="spellEnd"/>
            <w:r>
              <w:rPr>
                <w:sz w:val="19"/>
              </w:rPr>
              <w:t xml:space="preserve">, </w:t>
            </w:r>
            <w:proofErr w:type="spellStart"/>
            <w:r>
              <w:rPr>
                <w:sz w:val="19"/>
              </w:rPr>
              <w:t>AutoDockTools</w:t>
            </w:r>
            <w:proofErr w:type="spellEnd"/>
            <w:r>
              <w:rPr>
                <w:sz w:val="19"/>
              </w:rPr>
              <w:t xml:space="preserve"> 1.5.7, </w:t>
            </w:r>
            <w:proofErr w:type="spellStart"/>
            <w:r>
              <w:rPr>
                <w:sz w:val="19"/>
              </w:rPr>
              <w:t>AutoDock</w:t>
            </w:r>
            <w:proofErr w:type="spellEnd"/>
            <w:r>
              <w:rPr>
                <w:sz w:val="19"/>
              </w:rPr>
              <w:t xml:space="preserve"> Vina 1.2.5</w:t>
            </w:r>
          </w:p>
        </w:tc>
        <w:tc>
          <w:tcPr>
            <w:tcW w:w="4398" w:type="dxa"/>
            <w:shd w:val="clear" w:color="auto" w:fill="F9FBFD"/>
            <w:tcMar>
              <w:top w:w="80" w:type="dxa"/>
              <w:left w:w="100" w:type="dxa"/>
              <w:bottom w:w="80" w:type="dxa"/>
              <w:right w:w="100" w:type="dxa"/>
            </w:tcMar>
          </w:tcPr>
          <w:p w14:paraId="6A1ECDA7" w14:textId="77777777" w:rsidR="00CF0B61" w:rsidRPr="005239D4" w:rsidRDefault="00000000">
            <w:pPr>
              <w:rPr>
                <w:lang w:val="es-MX"/>
              </w:rPr>
            </w:pPr>
            <w:r w:rsidRPr="005239D4">
              <w:rPr>
                <w:b/>
                <w:sz w:val="19"/>
                <w:lang w:val="es-MX"/>
              </w:rPr>
              <w:t xml:space="preserve">Estructura PDB: </w:t>
            </w:r>
            <w:r w:rsidRPr="005239D4">
              <w:rPr>
                <w:sz w:val="19"/>
                <w:lang w:val="es-MX"/>
              </w:rPr>
              <w:t>9JQK (Resolución: 2.29 Å)</w:t>
            </w:r>
          </w:p>
        </w:tc>
      </w:tr>
    </w:tbl>
    <w:p w14:paraId="1DEEF0C2" w14:textId="6C4BFC1A" w:rsidR="00CF0B61" w:rsidRPr="00B73045" w:rsidRDefault="005239D4">
      <w:pPr>
        <w:spacing w:before="120" w:after="240"/>
        <w:rPr>
          <w:b/>
          <w:bCs/>
          <w:color w:val="000000" w:themeColor="text1"/>
          <w:lang w:val="es-MX"/>
        </w:rPr>
      </w:pPr>
      <w:r w:rsidRPr="00B73045">
        <w:rPr>
          <w:b/>
          <w:bCs/>
          <w:color w:val="000000" w:themeColor="text1"/>
          <w:lang w:val="es-MX"/>
        </w:rPr>
        <w:t xml:space="preserve">NOTA: </w:t>
      </w:r>
      <w:r w:rsidR="00A9685A">
        <w:rPr>
          <w:b/>
          <w:bCs/>
          <w:color w:val="000000" w:themeColor="text1"/>
          <w:lang w:val="es-MX"/>
        </w:rPr>
        <w:t>coloca</w:t>
      </w:r>
      <w:r w:rsidRPr="00B73045">
        <w:rPr>
          <w:b/>
          <w:bCs/>
          <w:color w:val="000000" w:themeColor="text1"/>
          <w:lang w:val="es-MX"/>
        </w:rPr>
        <w:t xml:space="preserve"> tus resultados y modifica el texto si es necesario.</w:t>
      </w:r>
    </w:p>
    <w:p w14:paraId="7296FC65" w14:textId="35DF3E49" w:rsidR="00CF0B61" w:rsidRPr="005239D4" w:rsidRDefault="00000000">
      <w:pPr>
        <w:spacing w:before="120" w:after="80"/>
        <w:rPr>
          <w:lang w:val="es-MX"/>
        </w:rPr>
      </w:pPr>
      <w:r w:rsidRPr="005239D4">
        <w:rPr>
          <w:b/>
          <w:color w:val="003366"/>
          <w:lang w:val="es-MX"/>
        </w:rPr>
        <w:t>RESUMEN (ABSTRACT)</w:t>
      </w:r>
    </w:p>
    <w:p w14:paraId="255D9831" w14:textId="288EFB37" w:rsidR="00CF0B61" w:rsidRPr="005239D4" w:rsidRDefault="00000000" w:rsidP="005239D4">
      <w:pPr>
        <w:spacing w:after="280"/>
        <w:jc w:val="both"/>
        <w:rPr>
          <w:lang w:val="es-MX"/>
        </w:rPr>
      </w:pPr>
      <w:r w:rsidRPr="005239D4">
        <w:rPr>
          <w:i/>
          <w:sz w:val="20"/>
          <w:lang w:val="es-MX"/>
        </w:rPr>
        <w:t>El docking molecular es una herramienta bioinformática fundamental para la predicción de modos de unión de ligandos en receptores macromoleculares. La validación metodológica previa mediante redocking resulta indispensable para asegurar que el algoritmo de búsqueda y la función de puntuación reproduzcan la pose cristalográfica experimental con alta fidelidad (RMSD &lt; 2.0 Å). En este trabajo, se presenta el protocolo riguroso de preparación y redocking del inhibidor Ginkgolic Acid (código de ligando PDB: A1ECX) en el dominio C-terminal de la proteína VP30 del virus de Ébola (Ebola virus VP30, PDB ID: 9JQK, resolución 2.29 Å). El procedimiento abarca la curación estructural, preparación de cargas Kollman y Gasteiger en AutoDockTools, cálculo de espacio de búsqueda y ejecución en AutoDock Vina. La pose predicha de mayor afinidad alcanzó una energía libre de unión (</w:t>
      </w:r>
      <w:r>
        <w:rPr>
          <w:i/>
          <w:sz w:val="20"/>
        </w:rPr>
        <w:t>Δ</w:t>
      </w:r>
      <w:r w:rsidRPr="005239D4">
        <w:rPr>
          <w:i/>
          <w:sz w:val="20"/>
          <w:lang w:val="es-MX"/>
        </w:rPr>
        <w:t>G) d</w:t>
      </w:r>
      <w:r w:rsidR="006E3288">
        <w:rPr>
          <w:i/>
          <w:sz w:val="20"/>
          <w:lang w:val="es-MX"/>
        </w:rPr>
        <w:t>e -4.903</w:t>
      </w:r>
      <w:r w:rsidRPr="005239D4">
        <w:rPr>
          <w:i/>
          <w:sz w:val="20"/>
          <w:lang w:val="es-MX"/>
        </w:rPr>
        <w:t xml:space="preserve"> kcal/mol y un RMSD de</w:t>
      </w:r>
      <w:r w:rsidR="006E3288">
        <w:rPr>
          <w:i/>
          <w:sz w:val="20"/>
          <w:lang w:val="es-MX"/>
        </w:rPr>
        <w:t xml:space="preserve"> 4.097 </w:t>
      </w:r>
      <w:r w:rsidRPr="005239D4">
        <w:rPr>
          <w:i/>
          <w:color w:val="FF0000"/>
          <w:sz w:val="20"/>
          <w:lang w:val="es-MX"/>
        </w:rPr>
        <w:t xml:space="preserve"> </w:t>
      </w:r>
      <w:r w:rsidRPr="005239D4">
        <w:rPr>
          <w:i/>
          <w:sz w:val="20"/>
          <w:lang w:val="es-MX"/>
        </w:rPr>
        <w:t xml:space="preserve">Å respecto a la estructura cristalográfica, </w:t>
      </w:r>
      <w:r w:rsidR="006E3288">
        <w:rPr>
          <w:i/>
          <w:sz w:val="20"/>
          <w:lang w:val="es-MX"/>
        </w:rPr>
        <w:t>por lo que no se pudo validar</w:t>
      </w:r>
      <w:r w:rsidRPr="005239D4">
        <w:rPr>
          <w:i/>
          <w:sz w:val="20"/>
          <w:lang w:val="es-MX"/>
        </w:rPr>
        <w:t xml:space="preserve"> </w:t>
      </w:r>
      <w:r w:rsidRPr="006E3288">
        <w:rPr>
          <w:i/>
          <w:color w:val="auto"/>
          <w:sz w:val="20"/>
          <w:lang w:val="es-MX"/>
        </w:rPr>
        <w:t xml:space="preserve">exitosamente </w:t>
      </w:r>
      <w:r w:rsidRPr="005239D4">
        <w:rPr>
          <w:i/>
          <w:sz w:val="20"/>
          <w:lang w:val="es-MX"/>
        </w:rPr>
        <w:t>el protocolo para futuros cribados virtuales de inhibidores de Ébola.</w:t>
      </w:r>
    </w:p>
    <w:p w14:paraId="12A4600D" w14:textId="77777777" w:rsidR="00CF0B61" w:rsidRPr="005239D4" w:rsidRDefault="00000000">
      <w:pPr>
        <w:pStyle w:val="Ttulo1"/>
        <w:spacing w:before="240" w:after="120"/>
        <w:rPr>
          <w:lang w:val="es-MX"/>
        </w:rPr>
      </w:pPr>
      <w:r w:rsidRPr="005239D4">
        <w:rPr>
          <w:lang w:val="es-MX"/>
        </w:rPr>
        <w:t>1. Introducción y Marco Teórico</w:t>
      </w:r>
    </w:p>
    <w:p w14:paraId="47059ACE" w14:textId="77777777" w:rsidR="00CF0B61" w:rsidRPr="005239D4" w:rsidRDefault="00000000" w:rsidP="005239D4">
      <w:pPr>
        <w:spacing w:after="160"/>
        <w:jc w:val="both"/>
        <w:rPr>
          <w:lang w:val="es-MX"/>
        </w:rPr>
      </w:pPr>
      <w:r w:rsidRPr="005239D4">
        <w:rPr>
          <w:lang w:val="es-MX"/>
        </w:rPr>
        <w:t>El virus del Ébola (EBOV) representa una amenaza severa para la salud pública global debido a sus altas tasas de letalidad. Entre las proteínas no estructurales del virus, el activador transcripcional VP30 juega un papel determinante en la regulación de la transcripción y replicación viral mediante su interacción directa con la nucleoproteína (eNP) (Peng et al., 2025). Recientemente, se ha identificado al compuesto Ácido Ginkgólico (Ginkgolic Acid / Ginkgoneolic Acid, registrado como ligando A1ECX en el PDB) como un inhibidor potente capaz de disrumpir la interfaz eVP30-eNP, bloqueando el ciclo replicativo del virus.</w:t>
      </w:r>
    </w:p>
    <w:p w14:paraId="3D10A0A3" w14:textId="77777777" w:rsidR="00CF0B61" w:rsidRPr="005239D4" w:rsidRDefault="00000000" w:rsidP="005239D4">
      <w:pPr>
        <w:spacing w:after="240"/>
        <w:jc w:val="both"/>
        <w:rPr>
          <w:lang w:val="es-MX"/>
        </w:rPr>
      </w:pPr>
      <w:r w:rsidRPr="005239D4">
        <w:rPr>
          <w:lang w:val="es-MX"/>
        </w:rPr>
        <w:t>Para desarrollar ensayos de acoplamiento molecular (*docking*) confiables en proyectos de investigación doctoral, es obligatorio validar los parámetros de simulación. Esta validación se realiza mediante *redocking*, un procedimiento en el que el ligando co-cristalizado se extrae del complejo experimental y se re-acopla computacionalmente en la misma cavidad receptora. Un valor de desviación cuadrática media (*Root Mean Square Deviation*, RMSD) inferior a 2.0 Å entre la pose computacional predicha y la posición cristalográfica original confirma que la función de puntuación (en este caso, la función empírica e iterativa de AutoDock Vina) y los parámetros de búsqueda espacial son adecuados para este sistema biomolecular.</w:t>
      </w:r>
    </w:p>
    <w:p w14:paraId="41EF51D9" w14:textId="77777777" w:rsidR="00CF0B61" w:rsidRPr="005239D4" w:rsidRDefault="00000000">
      <w:pPr>
        <w:pStyle w:val="Ttulo1"/>
        <w:spacing w:before="240" w:after="120"/>
        <w:rPr>
          <w:lang w:val="es-MX"/>
        </w:rPr>
      </w:pPr>
      <w:r w:rsidRPr="005239D4">
        <w:rPr>
          <w:lang w:val="es-MX"/>
        </w:rPr>
        <w:lastRenderedPageBreak/>
        <w:t>2. Procedimiento Experimental y Limpieza Estructural</w:t>
      </w:r>
    </w:p>
    <w:p w14:paraId="1523DA5C" w14:textId="77777777" w:rsidR="00CF0B61" w:rsidRPr="005239D4" w:rsidRDefault="00000000" w:rsidP="005239D4">
      <w:pPr>
        <w:spacing w:after="160"/>
        <w:jc w:val="both"/>
        <w:rPr>
          <w:lang w:val="es-MX"/>
        </w:rPr>
      </w:pPr>
      <w:r w:rsidRPr="005239D4">
        <w:rPr>
          <w:lang w:val="es-MX"/>
        </w:rPr>
        <w:t>El flujo de trabajo bioinformático inició con la descarga del archivo de coordenadas cristalográficas PDB ID: 9JQK desde el repositorio RCSB Protein Data Bank (resolución 2.29 Å). El complejo contiene el dominio C-terminal de VP30 en complejo con el inhibidor A1ECX.</w:t>
      </w:r>
    </w:p>
    <w:p w14:paraId="1B7CBDD0" w14:textId="77777777" w:rsidR="00CF0B61" w:rsidRPr="005239D4" w:rsidRDefault="00000000">
      <w:pPr>
        <w:pStyle w:val="Ttulo2"/>
        <w:spacing w:before="160" w:after="80"/>
        <w:rPr>
          <w:lang w:val="es-MX"/>
        </w:rPr>
      </w:pPr>
      <w:r w:rsidRPr="005239D4">
        <w:rPr>
          <w:lang w:val="es-MX"/>
        </w:rPr>
        <w:t>2.1 Limpieza de la Proteína Receptora</w:t>
      </w:r>
    </w:p>
    <w:p w14:paraId="1B8A857E" w14:textId="77777777" w:rsidR="00CF0B61" w:rsidRPr="005239D4" w:rsidRDefault="00000000" w:rsidP="005239D4">
      <w:pPr>
        <w:spacing w:after="80"/>
        <w:jc w:val="both"/>
        <w:rPr>
          <w:lang w:val="es-MX"/>
        </w:rPr>
      </w:pPr>
      <w:r w:rsidRPr="005239D4">
        <w:rPr>
          <w:lang w:val="es-MX"/>
        </w:rPr>
        <w:t>Utilizando el entorno visual de PyMOL (o UCSF Chimera), se procedió a la separación del receptor y el ligando:</w:t>
      </w:r>
    </w:p>
    <w:p w14:paraId="2C2FFDB4" w14:textId="77777777" w:rsidR="00CF0B61" w:rsidRPr="005239D4" w:rsidRDefault="00000000" w:rsidP="005239D4">
      <w:pPr>
        <w:pStyle w:val="Listaconvietas"/>
        <w:jc w:val="both"/>
        <w:rPr>
          <w:lang w:val="es-MX"/>
        </w:rPr>
      </w:pPr>
      <w:r w:rsidRPr="005239D4">
        <w:rPr>
          <w:b/>
          <w:lang w:val="es-MX"/>
        </w:rPr>
        <w:t xml:space="preserve">Eliminación de Moléculas de Agua Cristalográfica: </w:t>
      </w:r>
      <w:r w:rsidRPr="005239D4">
        <w:rPr>
          <w:lang w:val="es-MX"/>
        </w:rPr>
        <w:t>Se removieron los átomos de oxígeno de agua solvente (HOH/WAT) para evitar interferencias estéricas no biológicas en la cavidad anhidra.</w:t>
      </w:r>
    </w:p>
    <w:p w14:paraId="4824AE71" w14:textId="77777777" w:rsidR="00CF0B61" w:rsidRPr="005239D4" w:rsidRDefault="00000000" w:rsidP="005239D4">
      <w:pPr>
        <w:pStyle w:val="Listaconvietas"/>
        <w:jc w:val="both"/>
        <w:rPr>
          <w:lang w:val="es-MX"/>
        </w:rPr>
      </w:pPr>
      <w:r w:rsidRPr="005239D4">
        <w:rPr>
          <w:b/>
          <w:lang w:val="es-MX"/>
        </w:rPr>
        <w:t xml:space="preserve">Remoción de Iones y Co-cristalizantes: </w:t>
      </w:r>
      <w:r w:rsidRPr="005239D4">
        <w:rPr>
          <w:lang w:val="es-MX"/>
        </w:rPr>
        <w:t>Se eliminaron amortiguadores, sales e iones no catalíticos presentes en el cristal.</w:t>
      </w:r>
    </w:p>
    <w:p w14:paraId="42450CE7" w14:textId="77777777" w:rsidR="00CF0B61" w:rsidRPr="005239D4" w:rsidRDefault="00000000" w:rsidP="005239D4">
      <w:pPr>
        <w:pStyle w:val="Listaconvietas"/>
        <w:jc w:val="both"/>
        <w:rPr>
          <w:lang w:val="es-MX"/>
        </w:rPr>
      </w:pPr>
      <w:r w:rsidRPr="005239D4">
        <w:rPr>
          <w:b/>
          <w:lang w:val="es-MX"/>
        </w:rPr>
        <w:t xml:space="preserve">Aislamiento de la Cadena Proteica: </w:t>
      </w:r>
      <w:r w:rsidRPr="005239D4">
        <w:rPr>
          <w:lang w:val="es-MX"/>
        </w:rPr>
        <w:t>Se seleccionó la cadena A de eVP30 y se guardó como archivo apoproteína independiente en formato PDB (9JQK_protein_clean.pdb).</w:t>
      </w:r>
    </w:p>
    <w:tbl>
      <w:tblPr>
        <w:tblW w:w="0" w:type="auto"/>
        <w:jc w:val="center"/>
        <w:tblLayout w:type="fixed"/>
        <w:tblLook w:val="04A0" w:firstRow="1" w:lastRow="0" w:firstColumn="1" w:lastColumn="0" w:noHBand="0" w:noVBand="1"/>
      </w:tblPr>
      <w:tblGrid>
        <w:gridCol w:w="9360"/>
      </w:tblGrid>
      <w:tr w:rsidR="00CF0B61" w:rsidRPr="009356E6" w14:paraId="7BBA5B71"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6E0CCA50" w14:textId="77777777" w:rsidR="00CF0B61" w:rsidRPr="005239D4" w:rsidRDefault="00000000">
            <w:pPr>
              <w:spacing w:before="40" w:after="80"/>
              <w:rPr>
                <w:lang w:val="es-MX"/>
              </w:rPr>
            </w:pPr>
            <w:r>
              <w:rPr>
                <w:b/>
                <w:color w:val="003366"/>
                <w:sz w:val="20"/>
              </w:rPr>
              <w:t>📸</w:t>
            </w:r>
            <w:r w:rsidRPr="005239D4">
              <w:rPr>
                <w:b/>
                <w:color w:val="003366"/>
                <w:sz w:val="20"/>
                <w:lang w:val="es-MX"/>
              </w:rPr>
              <w:t xml:space="preserve"> EVIDENCIA / CAPTURA DE PANTALLA REQUERIDA: PyMOL - Separación de Receptor y Ligando Co-cristalizado (PDB: 9JQK)</w:t>
            </w:r>
            <w:r w:rsidRPr="005239D4">
              <w:rPr>
                <w:b/>
                <w:color w:val="003366"/>
                <w:sz w:val="20"/>
                <w:lang w:val="es-MX"/>
              </w:rPr>
              <w:br/>
            </w:r>
            <w:r w:rsidRPr="005239D4">
              <w:rPr>
                <w:i/>
                <w:sz w:val="19"/>
                <w:lang w:val="es-MX"/>
              </w:rPr>
              <w:t>Inserte aquí una captura de pantalla de PyMOL que muestre el complejo cristalino 9JQK coloreado por estructura secundaria, destacando la superficie del sitio activo de VP30 y el ligando A1ECX en representación de bastones (sticks).</w:t>
            </w:r>
          </w:p>
        </w:tc>
      </w:tr>
    </w:tbl>
    <w:p w14:paraId="3752EBF9" w14:textId="77777777" w:rsidR="00CF0B61" w:rsidRDefault="00CF0B61">
      <w:pPr>
        <w:spacing w:after="120"/>
        <w:rPr>
          <w:lang w:val="es-MX"/>
        </w:rPr>
      </w:pPr>
    </w:p>
    <w:p w14:paraId="4722725E" w14:textId="37BCF222" w:rsidR="0048046B" w:rsidRPr="005239D4" w:rsidRDefault="0048046B" w:rsidP="0048046B">
      <w:pPr>
        <w:spacing w:after="120"/>
        <w:jc w:val="center"/>
        <w:rPr>
          <w:lang w:val="es-MX"/>
        </w:rPr>
      </w:pPr>
      <w:r w:rsidRPr="0048046B">
        <w:rPr>
          <w:lang w:val="es-MX"/>
        </w:rPr>
        <w:drawing>
          <wp:inline distT="0" distB="0" distL="0" distR="0" wp14:anchorId="66A1D2BF" wp14:editId="07682F24">
            <wp:extent cx="4320000" cy="2820000"/>
            <wp:effectExtent l="0" t="0" r="0" b="0"/>
            <wp:docPr id="217152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52695" name=""/>
                    <pic:cNvPicPr/>
                  </pic:nvPicPr>
                  <pic:blipFill>
                    <a:blip r:embed="rId8"/>
                    <a:stretch>
                      <a:fillRect/>
                    </a:stretch>
                  </pic:blipFill>
                  <pic:spPr>
                    <a:xfrm>
                      <a:off x="0" y="0"/>
                      <a:ext cx="4320000" cy="2820000"/>
                    </a:xfrm>
                    <a:prstGeom prst="rect">
                      <a:avLst/>
                    </a:prstGeom>
                  </pic:spPr>
                </pic:pic>
              </a:graphicData>
            </a:graphic>
          </wp:inline>
        </w:drawing>
      </w:r>
    </w:p>
    <w:p w14:paraId="033374EB" w14:textId="77777777" w:rsidR="00CF0B61" w:rsidRPr="005239D4" w:rsidRDefault="00000000">
      <w:pPr>
        <w:pStyle w:val="Ttulo2"/>
        <w:spacing w:before="160" w:after="80"/>
        <w:rPr>
          <w:lang w:val="es-MX"/>
        </w:rPr>
      </w:pPr>
      <w:r w:rsidRPr="005239D4">
        <w:rPr>
          <w:lang w:val="es-MX"/>
        </w:rPr>
        <w:t>2.2 Preparación del Ligando A1ECX</w:t>
      </w:r>
    </w:p>
    <w:p w14:paraId="68191D75" w14:textId="77777777" w:rsidR="00CF0B61" w:rsidRDefault="00000000" w:rsidP="005239D4">
      <w:pPr>
        <w:spacing w:after="240"/>
        <w:jc w:val="both"/>
        <w:rPr>
          <w:lang w:val="es-MX"/>
        </w:rPr>
      </w:pPr>
      <w:r w:rsidRPr="005239D4">
        <w:rPr>
          <w:lang w:val="es-MX"/>
        </w:rPr>
        <w:t>El ligando A1ECX (Ácido Ginkgólico, C</w:t>
      </w:r>
      <w:r w:rsidRPr="005239D4">
        <w:rPr>
          <w:vertAlign w:val="subscript"/>
          <w:lang w:val="es-MX"/>
        </w:rPr>
        <w:t>20</w:t>
      </w:r>
      <w:r w:rsidRPr="005239D4">
        <w:rPr>
          <w:lang w:val="es-MX"/>
        </w:rPr>
        <w:t>H</w:t>
      </w:r>
      <w:r w:rsidRPr="005239D4">
        <w:rPr>
          <w:vertAlign w:val="subscript"/>
          <w:lang w:val="es-MX"/>
        </w:rPr>
        <w:t>30</w:t>
      </w:r>
      <w:r w:rsidRPr="005239D4">
        <w:rPr>
          <w:lang w:val="es-MX"/>
        </w:rPr>
        <w:t>O</w:t>
      </w:r>
      <w:r w:rsidRPr="005239D4">
        <w:rPr>
          <w:vertAlign w:val="subscript"/>
          <w:lang w:val="es-MX"/>
        </w:rPr>
        <w:t>3</w:t>
      </w:r>
      <w:r w:rsidRPr="005239D4">
        <w:rPr>
          <w:lang w:val="es-MX"/>
        </w:rPr>
        <w:t xml:space="preserve">) fue extraído de la estructura cristalina conservando su conformación nativa experimental y guardado por separado en formato PDB (9JQK_ligand_native.pdb). </w:t>
      </w:r>
      <w:r w:rsidRPr="005239D4">
        <w:rPr>
          <w:lang w:val="es-MX"/>
        </w:rPr>
        <w:lastRenderedPageBreak/>
        <w:t>Esta conformación nativa sirve como la referencia estándar (*reference pose*) para la superposición y el cálculo cuantitativo final del RMSD.</w:t>
      </w:r>
    </w:p>
    <w:p w14:paraId="79590F94" w14:textId="7FDAC283" w:rsidR="0048046B" w:rsidRPr="005239D4" w:rsidRDefault="0048046B" w:rsidP="0048046B">
      <w:pPr>
        <w:spacing w:after="240"/>
        <w:jc w:val="center"/>
        <w:rPr>
          <w:lang w:val="es-MX"/>
        </w:rPr>
      </w:pPr>
      <w:r w:rsidRPr="0048046B">
        <w:rPr>
          <w:lang w:val="es-MX"/>
        </w:rPr>
        <w:drawing>
          <wp:inline distT="0" distB="0" distL="0" distR="0" wp14:anchorId="06651C19" wp14:editId="4EC352C1">
            <wp:extent cx="4320000" cy="2820000"/>
            <wp:effectExtent l="0" t="0" r="0" b="0"/>
            <wp:docPr id="2037098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98762" name=""/>
                    <pic:cNvPicPr/>
                  </pic:nvPicPr>
                  <pic:blipFill>
                    <a:blip r:embed="rId9"/>
                    <a:stretch>
                      <a:fillRect/>
                    </a:stretch>
                  </pic:blipFill>
                  <pic:spPr>
                    <a:xfrm>
                      <a:off x="0" y="0"/>
                      <a:ext cx="4320000" cy="2820000"/>
                    </a:xfrm>
                    <a:prstGeom prst="rect">
                      <a:avLst/>
                    </a:prstGeom>
                  </pic:spPr>
                </pic:pic>
              </a:graphicData>
            </a:graphic>
          </wp:inline>
        </w:drawing>
      </w:r>
    </w:p>
    <w:p w14:paraId="268BF34A" w14:textId="77777777" w:rsidR="00CF0B61" w:rsidRPr="005239D4" w:rsidRDefault="00000000">
      <w:pPr>
        <w:pStyle w:val="Ttulo1"/>
        <w:spacing w:before="240" w:after="120"/>
        <w:rPr>
          <w:lang w:val="es-MX"/>
        </w:rPr>
      </w:pPr>
      <w:r w:rsidRPr="005239D4">
        <w:rPr>
          <w:lang w:val="es-MX"/>
        </w:rPr>
        <w:t>3. Preparación de Receptor y Ligando en AutoDockTools (ADT)</w:t>
      </w:r>
    </w:p>
    <w:p w14:paraId="620129EF" w14:textId="77777777" w:rsidR="00CF0B61" w:rsidRPr="005239D4" w:rsidRDefault="00000000" w:rsidP="005239D4">
      <w:pPr>
        <w:spacing w:after="160"/>
        <w:jc w:val="both"/>
        <w:rPr>
          <w:lang w:val="es-MX"/>
        </w:rPr>
      </w:pPr>
      <w:r w:rsidRPr="005239D4">
        <w:rPr>
          <w:lang w:val="es-MX"/>
        </w:rPr>
        <w:t>Tanto la proteína como el ligando requieren ser convertidos al formato especializado PDBQT (*Protein Data Bank, Partial Charge (q), and Atom Type (t)*) necesario para el algoritmo de AutoDock Vina.</w:t>
      </w:r>
    </w:p>
    <w:p w14:paraId="61B29DAC" w14:textId="77777777" w:rsidR="00CF0B61" w:rsidRPr="005239D4" w:rsidRDefault="00000000" w:rsidP="005239D4">
      <w:pPr>
        <w:pStyle w:val="Ttulo2"/>
        <w:jc w:val="both"/>
        <w:rPr>
          <w:lang w:val="es-MX"/>
        </w:rPr>
      </w:pPr>
      <w:r w:rsidRPr="005239D4">
        <w:rPr>
          <w:lang w:val="es-MX"/>
        </w:rPr>
        <w:t>3.1 Preparación de la Macromolécula (9JQK_receptor.pdbqt)</w:t>
      </w:r>
    </w:p>
    <w:p w14:paraId="1C57C640" w14:textId="77777777" w:rsidR="00CF0B61" w:rsidRPr="005239D4" w:rsidRDefault="00000000" w:rsidP="005239D4">
      <w:pPr>
        <w:pStyle w:val="Listaconvietas"/>
        <w:jc w:val="both"/>
        <w:rPr>
          <w:lang w:val="es-MX"/>
        </w:rPr>
      </w:pPr>
      <w:r w:rsidRPr="005239D4">
        <w:rPr>
          <w:b/>
          <w:lang w:val="es-MX"/>
        </w:rPr>
        <w:t xml:space="preserve">Adición de Hidrógenos Polares: </w:t>
      </w:r>
      <w:r w:rsidRPr="005239D4">
        <w:rPr>
          <w:lang w:val="es-MX"/>
        </w:rPr>
        <w:t>Dado que la difracción de rayos X no resuelve las posiciones de los hidrógenos, se añadieron todos los hidrógenos polares necesarios para definir los puentes de hidrógeno receptores/donadores.</w:t>
      </w:r>
    </w:p>
    <w:p w14:paraId="6E5D34E7" w14:textId="77777777" w:rsidR="00CF0B61" w:rsidRPr="005239D4" w:rsidRDefault="00000000" w:rsidP="005239D4">
      <w:pPr>
        <w:pStyle w:val="Listaconvietas"/>
        <w:jc w:val="both"/>
        <w:rPr>
          <w:lang w:val="es-MX"/>
        </w:rPr>
      </w:pPr>
      <w:r w:rsidRPr="005239D4">
        <w:rPr>
          <w:b/>
          <w:lang w:val="es-MX"/>
        </w:rPr>
        <w:t xml:space="preserve">Asignación de Cargas Kollman: </w:t>
      </w:r>
      <w:r w:rsidRPr="005239D4">
        <w:rPr>
          <w:lang w:val="es-MX"/>
        </w:rPr>
        <w:t>Se asignaron las cargas parciales de Kollman unificadas a la estructura proteica.</w:t>
      </w:r>
    </w:p>
    <w:p w14:paraId="08C36FD7" w14:textId="77777777" w:rsidR="00CF0B61" w:rsidRPr="005239D4" w:rsidRDefault="00000000" w:rsidP="005239D4">
      <w:pPr>
        <w:pStyle w:val="Listaconvietas"/>
        <w:jc w:val="both"/>
        <w:rPr>
          <w:lang w:val="es-MX"/>
        </w:rPr>
      </w:pPr>
      <w:r w:rsidRPr="005239D4">
        <w:rPr>
          <w:b/>
          <w:lang w:val="es-MX"/>
        </w:rPr>
        <w:t xml:space="preserve">Combinación de Cargas No Polares: </w:t>
      </w:r>
      <w:r w:rsidRPr="005239D4">
        <w:rPr>
          <w:lang w:val="es-MX"/>
        </w:rPr>
        <w:t>Se fusionaron las cargas de hidrógenos no polares (*united-atom approach*) y se guardó la estructura como 'protein_prep.pdbqt'.</w:t>
      </w:r>
    </w:p>
    <w:tbl>
      <w:tblPr>
        <w:tblW w:w="0" w:type="auto"/>
        <w:jc w:val="center"/>
        <w:tblLayout w:type="fixed"/>
        <w:tblLook w:val="04A0" w:firstRow="1" w:lastRow="0" w:firstColumn="1" w:lastColumn="0" w:noHBand="0" w:noVBand="1"/>
      </w:tblPr>
      <w:tblGrid>
        <w:gridCol w:w="9360"/>
      </w:tblGrid>
      <w:tr w:rsidR="00CF0B61" w:rsidRPr="009356E6" w14:paraId="236D8CC4"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4CA65090" w14:textId="77777777" w:rsidR="00CF0B61" w:rsidRPr="005239D4" w:rsidRDefault="00000000">
            <w:pPr>
              <w:spacing w:before="40" w:after="80"/>
              <w:rPr>
                <w:lang w:val="es-MX"/>
              </w:rPr>
            </w:pPr>
            <w:r>
              <w:rPr>
                <w:b/>
                <w:color w:val="003366"/>
                <w:sz w:val="20"/>
              </w:rPr>
              <w:t>📸</w:t>
            </w:r>
            <w:r w:rsidRPr="005239D4">
              <w:rPr>
                <w:b/>
                <w:color w:val="003366"/>
                <w:sz w:val="20"/>
                <w:lang w:val="es-MX"/>
              </w:rPr>
              <w:t xml:space="preserve"> EVIDENCIA / CAPTURA DE PANTALLA REQUERIDA: AutoDockTools - Receptor PDBQT con Cargas Kollman e Hidrógenos Polares</w:t>
            </w:r>
            <w:r w:rsidRPr="005239D4">
              <w:rPr>
                <w:b/>
                <w:color w:val="003366"/>
                <w:sz w:val="20"/>
                <w:lang w:val="es-MX"/>
              </w:rPr>
              <w:br/>
            </w:r>
            <w:r w:rsidRPr="005239D4">
              <w:rPr>
                <w:i/>
                <w:sz w:val="19"/>
                <w:lang w:val="es-MX"/>
              </w:rPr>
              <w:t>Inserte aquí la captura de pantalla de AutoDockTools (ADT) con la apoproteína VP30 cargada, mostrando el panel de visualización de cargas e hidrógenos polares asignados.</w:t>
            </w:r>
          </w:p>
        </w:tc>
      </w:tr>
    </w:tbl>
    <w:p w14:paraId="03024396" w14:textId="38DD500A" w:rsidR="0048046B" w:rsidRDefault="0048046B" w:rsidP="0048046B">
      <w:pPr>
        <w:spacing w:after="120"/>
        <w:jc w:val="center"/>
        <w:rPr>
          <w:lang w:val="es-MX"/>
        </w:rPr>
      </w:pPr>
      <w:r>
        <w:rPr>
          <w:noProof/>
          <w:lang w:val="es-MX"/>
        </w:rPr>
        <w:lastRenderedPageBreak/>
        <w:drawing>
          <wp:inline distT="0" distB="0" distL="0" distR="0" wp14:anchorId="06CD0F65" wp14:editId="31742218">
            <wp:extent cx="2880000" cy="1946462"/>
            <wp:effectExtent l="0" t="0" r="3175" b="0"/>
            <wp:docPr id="854001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01954" name="Imagen 854001954"/>
                    <pic:cNvPicPr/>
                  </pic:nvPicPr>
                  <pic:blipFill>
                    <a:blip r:embed="rId10"/>
                    <a:stretch>
                      <a:fillRect/>
                    </a:stretch>
                  </pic:blipFill>
                  <pic:spPr>
                    <a:xfrm>
                      <a:off x="0" y="0"/>
                      <a:ext cx="2880000" cy="1946462"/>
                    </a:xfrm>
                    <a:prstGeom prst="rect">
                      <a:avLst/>
                    </a:prstGeom>
                  </pic:spPr>
                </pic:pic>
              </a:graphicData>
            </a:graphic>
          </wp:inline>
        </w:drawing>
      </w:r>
      <w:r>
        <w:rPr>
          <w:noProof/>
          <w:lang w:val="es-MX"/>
        </w:rPr>
        <w:drawing>
          <wp:inline distT="0" distB="0" distL="0" distR="0" wp14:anchorId="4CB16C6A" wp14:editId="667CB291">
            <wp:extent cx="2880000" cy="1946462"/>
            <wp:effectExtent l="0" t="0" r="3175" b="0"/>
            <wp:docPr id="1071054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54134" name="Imagen 1071054134"/>
                    <pic:cNvPicPr/>
                  </pic:nvPicPr>
                  <pic:blipFill>
                    <a:blip r:embed="rId11"/>
                    <a:stretch>
                      <a:fillRect/>
                    </a:stretch>
                  </pic:blipFill>
                  <pic:spPr>
                    <a:xfrm>
                      <a:off x="0" y="0"/>
                      <a:ext cx="2880000" cy="1946462"/>
                    </a:xfrm>
                    <a:prstGeom prst="rect">
                      <a:avLst/>
                    </a:prstGeom>
                  </pic:spPr>
                </pic:pic>
              </a:graphicData>
            </a:graphic>
          </wp:inline>
        </w:drawing>
      </w:r>
      <w:r>
        <w:rPr>
          <w:noProof/>
          <w:lang w:val="es-MX"/>
        </w:rPr>
        <w:drawing>
          <wp:inline distT="0" distB="0" distL="0" distR="0" wp14:anchorId="57E9B140" wp14:editId="495C4B70">
            <wp:extent cx="2880000" cy="1946462"/>
            <wp:effectExtent l="0" t="0" r="3175" b="0"/>
            <wp:docPr id="9320493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49385" name="Imagen 932049385"/>
                    <pic:cNvPicPr/>
                  </pic:nvPicPr>
                  <pic:blipFill>
                    <a:blip r:embed="rId12"/>
                    <a:stretch>
                      <a:fillRect/>
                    </a:stretch>
                  </pic:blipFill>
                  <pic:spPr>
                    <a:xfrm>
                      <a:off x="0" y="0"/>
                      <a:ext cx="2880000" cy="1946462"/>
                    </a:xfrm>
                    <a:prstGeom prst="rect">
                      <a:avLst/>
                    </a:prstGeom>
                  </pic:spPr>
                </pic:pic>
              </a:graphicData>
            </a:graphic>
          </wp:inline>
        </w:drawing>
      </w:r>
      <w:r>
        <w:rPr>
          <w:noProof/>
          <w:lang w:val="es-MX"/>
        </w:rPr>
        <w:drawing>
          <wp:inline distT="0" distB="0" distL="0" distR="0" wp14:anchorId="11450A38" wp14:editId="0B6FA6FB">
            <wp:extent cx="2880000" cy="1946462"/>
            <wp:effectExtent l="0" t="0" r="3175" b="0"/>
            <wp:docPr id="18217299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29965" name="Imagen 1821729965"/>
                    <pic:cNvPicPr/>
                  </pic:nvPicPr>
                  <pic:blipFill>
                    <a:blip r:embed="rId13"/>
                    <a:stretch>
                      <a:fillRect/>
                    </a:stretch>
                  </pic:blipFill>
                  <pic:spPr>
                    <a:xfrm>
                      <a:off x="0" y="0"/>
                      <a:ext cx="2880000" cy="1946462"/>
                    </a:xfrm>
                    <a:prstGeom prst="rect">
                      <a:avLst/>
                    </a:prstGeom>
                  </pic:spPr>
                </pic:pic>
              </a:graphicData>
            </a:graphic>
          </wp:inline>
        </w:drawing>
      </w:r>
    </w:p>
    <w:p w14:paraId="4FC81E6C" w14:textId="0AE39ECC" w:rsidR="0048046B" w:rsidRPr="005239D4" w:rsidRDefault="0048046B" w:rsidP="0048046B">
      <w:pPr>
        <w:spacing w:after="120"/>
        <w:jc w:val="center"/>
        <w:rPr>
          <w:lang w:val="es-MX"/>
        </w:rPr>
      </w:pPr>
      <w:r>
        <w:rPr>
          <w:noProof/>
          <w:lang w:val="es-MX"/>
        </w:rPr>
        <w:drawing>
          <wp:inline distT="0" distB="0" distL="0" distR="0" wp14:anchorId="594FBBC5" wp14:editId="2966B708">
            <wp:extent cx="5760000" cy="3892923"/>
            <wp:effectExtent l="0" t="0" r="0" b="6350"/>
            <wp:docPr id="13926120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12082" name="Imagen 1392612082"/>
                    <pic:cNvPicPr/>
                  </pic:nvPicPr>
                  <pic:blipFill>
                    <a:blip r:embed="rId14"/>
                    <a:stretch>
                      <a:fillRect/>
                    </a:stretch>
                  </pic:blipFill>
                  <pic:spPr>
                    <a:xfrm>
                      <a:off x="0" y="0"/>
                      <a:ext cx="5760000" cy="3892923"/>
                    </a:xfrm>
                    <a:prstGeom prst="rect">
                      <a:avLst/>
                    </a:prstGeom>
                  </pic:spPr>
                </pic:pic>
              </a:graphicData>
            </a:graphic>
          </wp:inline>
        </w:drawing>
      </w:r>
    </w:p>
    <w:p w14:paraId="5EAB0D2C" w14:textId="77777777" w:rsidR="00CF0B61" w:rsidRPr="005239D4" w:rsidRDefault="00000000">
      <w:pPr>
        <w:pStyle w:val="Ttulo2"/>
        <w:rPr>
          <w:lang w:val="es-MX"/>
        </w:rPr>
      </w:pPr>
      <w:r w:rsidRPr="005239D4">
        <w:rPr>
          <w:lang w:val="es-MX"/>
        </w:rPr>
        <w:lastRenderedPageBreak/>
        <w:t>3.2 Preparación del Ligando (9JQK_ligand.pdbqt)</w:t>
      </w:r>
    </w:p>
    <w:p w14:paraId="632541E6" w14:textId="77777777" w:rsidR="00CF0B61" w:rsidRPr="005239D4" w:rsidRDefault="00000000" w:rsidP="00D5678A">
      <w:pPr>
        <w:pStyle w:val="Listaconvietas"/>
        <w:jc w:val="both"/>
        <w:rPr>
          <w:lang w:val="es-MX"/>
        </w:rPr>
      </w:pPr>
      <w:r w:rsidRPr="005239D4">
        <w:rPr>
          <w:b/>
          <w:lang w:val="es-MX"/>
        </w:rPr>
        <w:t xml:space="preserve">Cargas Gasteiger-Marsili: </w:t>
      </w:r>
      <w:r w:rsidRPr="005239D4">
        <w:rPr>
          <w:lang w:val="es-MX"/>
        </w:rPr>
        <w:t>Se calcularon y asignaron cargas de Gasteiger al ligando A1ECX.</w:t>
      </w:r>
    </w:p>
    <w:p w14:paraId="275E0A7E" w14:textId="77777777" w:rsidR="00CF0B61" w:rsidRPr="005239D4" w:rsidRDefault="00000000" w:rsidP="00D5678A">
      <w:pPr>
        <w:pStyle w:val="Listaconvietas"/>
        <w:jc w:val="both"/>
        <w:rPr>
          <w:lang w:val="es-MX"/>
        </w:rPr>
      </w:pPr>
      <w:r w:rsidRPr="005239D4">
        <w:rPr>
          <w:b/>
          <w:lang w:val="es-MX"/>
        </w:rPr>
        <w:t xml:space="preserve">Definición de Torsiones Flexibles: </w:t>
      </w:r>
      <w:r w:rsidRPr="005239D4">
        <w:rPr>
          <w:lang w:val="es-MX"/>
        </w:rPr>
        <w:t>Se identificaron los enlaces rotables en la cadena alifática tridecenil del ácido ginkgólico (</w:t>
      </w:r>
      <w:r w:rsidRPr="00A9685A">
        <w:rPr>
          <w:color w:val="FF0000"/>
          <w:lang w:val="es-MX"/>
        </w:rPr>
        <w:t>7</w:t>
      </w:r>
      <w:r w:rsidRPr="005239D4">
        <w:rPr>
          <w:lang w:val="es-MX"/>
        </w:rPr>
        <w:t xml:space="preserve"> enlaces activos rotables), manteniendo la rigidez del anillo aromático benzoico.</w:t>
      </w:r>
    </w:p>
    <w:tbl>
      <w:tblPr>
        <w:tblW w:w="0" w:type="auto"/>
        <w:jc w:val="center"/>
        <w:tblLayout w:type="fixed"/>
        <w:tblLook w:val="04A0" w:firstRow="1" w:lastRow="0" w:firstColumn="1" w:lastColumn="0" w:noHBand="0" w:noVBand="1"/>
      </w:tblPr>
      <w:tblGrid>
        <w:gridCol w:w="9360"/>
      </w:tblGrid>
      <w:tr w:rsidR="00CF0B61" w:rsidRPr="009356E6" w14:paraId="7715682C"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5DC559DD" w14:textId="77777777" w:rsidR="00CF0B61" w:rsidRPr="005239D4" w:rsidRDefault="00000000">
            <w:pPr>
              <w:spacing w:before="40" w:after="80"/>
              <w:rPr>
                <w:lang w:val="es-MX"/>
              </w:rPr>
            </w:pPr>
            <w:r>
              <w:rPr>
                <w:b/>
                <w:color w:val="003366"/>
                <w:sz w:val="20"/>
              </w:rPr>
              <w:t>📸</w:t>
            </w:r>
            <w:r w:rsidRPr="005239D4">
              <w:rPr>
                <w:b/>
                <w:color w:val="003366"/>
                <w:sz w:val="20"/>
                <w:lang w:val="es-MX"/>
              </w:rPr>
              <w:t xml:space="preserve"> EVIDENCIA / CAPTURA DE PANTALLA REQUERIDA: AutoDockTools - Torsion Tree del Ligando A1ECX (Ginkgolic Acid)</w:t>
            </w:r>
            <w:r w:rsidRPr="005239D4">
              <w:rPr>
                <w:b/>
                <w:color w:val="003366"/>
                <w:sz w:val="20"/>
                <w:lang w:val="es-MX"/>
              </w:rPr>
              <w:br/>
            </w:r>
            <w:r w:rsidRPr="005239D4">
              <w:rPr>
                <w:i/>
                <w:sz w:val="19"/>
                <w:lang w:val="es-MX"/>
              </w:rPr>
              <w:t>Inserte aquí la captura de pantalla de ADT en el módulo 'Ligand -&gt; Torsion Tree -&gt; Choose Torsions', mostrando los enlaces rotables resaltados en verde y el átomo raíz (root atom).</w:t>
            </w:r>
          </w:p>
        </w:tc>
      </w:tr>
    </w:tbl>
    <w:p w14:paraId="0B4A479D" w14:textId="77777777" w:rsidR="00CF0B61" w:rsidRDefault="00CF0B61">
      <w:pPr>
        <w:spacing w:after="120"/>
        <w:rPr>
          <w:lang w:val="es-MX"/>
        </w:rPr>
      </w:pPr>
    </w:p>
    <w:p w14:paraId="646AC074" w14:textId="33430BB8" w:rsidR="0048046B" w:rsidRPr="005239D4" w:rsidRDefault="0048046B" w:rsidP="0048046B">
      <w:pPr>
        <w:spacing w:after="120"/>
        <w:jc w:val="center"/>
        <w:rPr>
          <w:lang w:val="es-MX"/>
        </w:rPr>
      </w:pPr>
      <w:r>
        <w:rPr>
          <w:noProof/>
          <w:lang w:val="es-MX"/>
        </w:rPr>
        <w:drawing>
          <wp:inline distT="0" distB="0" distL="0" distR="0" wp14:anchorId="006C6017" wp14:editId="709F4771">
            <wp:extent cx="2880000" cy="1946462"/>
            <wp:effectExtent l="0" t="0" r="3175" b="0"/>
            <wp:docPr id="5944978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97843" name="Imagen 594497843"/>
                    <pic:cNvPicPr/>
                  </pic:nvPicPr>
                  <pic:blipFill>
                    <a:blip r:embed="rId15"/>
                    <a:stretch>
                      <a:fillRect/>
                    </a:stretch>
                  </pic:blipFill>
                  <pic:spPr>
                    <a:xfrm>
                      <a:off x="0" y="0"/>
                      <a:ext cx="2880000" cy="1946462"/>
                    </a:xfrm>
                    <a:prstGeom prst="rect">
                      <a:avLst/>
                    </a:prstGeom>
                  </pic:spPr>
                </pic:pic>
              </a:graphicData>
            </a:graphic>
          </wp:inline>
        </w:drawing>
      </w:r>
      <w:r>
        <w:rPr>
          <w:noProof/>
          <w:lang w:val="es-MX"/>
        </w:rPr>
        <w:drawing>
          <wp:inline distT="0" distB="0" distL="0" distR="0" wp14:anchorId="17AF6212" wp14:editId="45C84F02">
            <wp:extent cx="2880000" cy="2188615"/>
            <wp:effectExtent l="0" t="0" r="3175" b="0"/>
            <wp:docPr id="10582482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48239" name="Imagen 1058248239"/>
                    <pic:cNvPicPr/>
                  </pic:nvPicPr>
                  <pic:blipFill>
                    <a:blip r:embed="rId16"/>
                    <a:stretch>
                      <a:fillRect/>
                    </a:stretch>
                  </pic:blipFill>
                  <pic:spPr>
                    <a:xfrm>
                      <a:off x="0" y="0"/>
                      <a:ext cx="2880000" cy="2188615"/>
                    </a:xfrm>
                    <a:prstGeom prst="rect">
                      <a:avLst/>
                    </a:prstGeom>
                  </pic:spPr>
                </pic:pic>
              </a:graphicData>
            </a:graphic>
          </wp:inline>
        </w:drawing>
      </w:r>
      <w:r>
        <w:rPr>
          <w:noProof/>
          <w:lang w:val="es-MX"/>
        </w:rPr>
        <w:drawing>
          <wp:inline distT="0" distB="0" distL="0" distR="0" wp14:anchorId="2E256517" wp14:editId="35CCDB24">
            <wp:extent cx="4723297" cy="3600000"/>
            <wp:effectExtent l="0" t="0" r="1270" b="0"/>
            <wp:docPr id="135094875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8755" name="Imagen 1350948755"/>
                    <pic:cNvPicPr/>
                  </pic:nvPicPr>
                  <pic:blipFill>
                    <a:blip r:embed="rId17"/>
                    <a:stretch>
                      <a:fillRect/>
                    </a:stretch>
                  </pic:blipFill>
                  <pic:spPr>
                    <a:xfrm>
                      <a:off x="0" y="0"/>
                      <a:ext cx="4723297" cy="3600000"/>
                    </a:xfrm>
                    <a:prstGeom prst="rect">
                      <a:avLst/>
                    </a:prstGeom>
                  </pic:spPr>
                </pic:pic>
              </a:graphicData>
            </a:graphic>
          </wp:inline>
        </w:drawing>
      </w:r>
    </w:p>
    <w:p w14:paraId="3BAA0D9B" w14:textId="77777777" w:rsidR="00CF0B61" w:rsidRPr="005239D4" w:rsidRDefault="00000000">
      <w:pPr>
        <w:pStyle w:val="Ttulo2"/>
        <w:rPr>
          <w:lang w:val="es-MX"/>
        </w:rPr>
      </w:pPr>
      <w:r w:rsidRPr="005239D4">
        <w:rPr>
          <w:lang w:val="es-MX"/>
        </w:rPr>
        <w:lastRenderedPageBreak/>
        <w:t>3.3 Configuración de la Caja de Grid (Grid Box)</w:t>
      </w:r>
    </w:p>
    <w:p w14:paraId="05D8B64C" w14:textId="77777777" w:rsidR="00CF0B61" w:rsidRPr="005239D4" w:rsidRDefault="00000000" w:rsidP="00D5678A">
      <w:pPr>
        <w:spacing w:after="160"/>
        <w:jc w:val="both"/>
        <w:rPr>
          <w:lang w:val="es-MX"/>
        </w:rPr>
      </w:pPr>
      <w:r w:rsidRPr="005239D4">
        <w:rPr>
          <w:lang w:val="es-MX"/>
        </w:rPr>
        <w:t>La caja de búsqueda espacial (*Grid Box*) se centró de forma precisa en el centroide de la masa del ligando co-cristalizado en el sitio de unión de VP30. A continuación, se presenta la figura esquemática y la tabla de parámetros configurados en ADT:</w:t>
      </w:r>
    </w:p>
    <w:p w14:paraId="65D643EB" w14:textId="77777777" w:rsidR="00CF0B61" w:rsidRDefault="00000000">
      <w:pPr>
        <w:spacing w:before="80" w:after="80"/>
        <w:jc w:val="center"/>
      </w:pPr>
      <w:r>
        <w:rPr>
          <w:noProof/>
        </w:rPr>
        <w:drawing>
          <wp:inline distT="0" distB="0" distL="0" distR="0" wp14:anchorId="5C5DECBB" wp14:editId="1A4F9C13">
            <wp:extent cx="4754880" cy="274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rid_box.png"/>
                    <pic:cNvPicPr/>
                  </pic:nvPicPr>
                  <pic:blipFill>
                    <a:blip r:embed="rId18"/>
                    <a:stretch>
                      <a:fillRect/>
                    </a:stretch>
                  </pic:blipFill>
                  <pic:spPr>
                    <a:xfrm>
                      <a:off x="0" y="0"/>
                      <a:ext cx="4754880" cy="2740100"/>
                    </a:xfrm>
                    <a:prstGeom prst="rect">
                      <a:avLst/>
                    </a:prstGeom>
                  </pic:spPr>
                </pic:pic>
              </a:graphicData>
            </a:graphic>
          </wp:inline>
        </w:drawing>
      </w:r>
    </w:p>
    <w:p w14:paraId="67F8850E" w14:textId="77777777" w:rsidR="00CF0B61" w:rsidRPr="005239D4" w:rsidRDefault="00000000">
      <w:pPr>
        <w:jc w:val="center"/>
        <w:rPr>
          <w:lang w:val="es-MX"/>
        </w:rPr>
      </w:pPr>
      <w:r w:rsidRPr="005239D4">
        <w:rPr>
          <w:i/>
          <w:sz w:val="18"/>
          <w:lang w:val="es-MX"/>
        </w:rPr>
        <w:t>Figura 1: Parámetros del espacio de búsqueda (Grid Box) en el sitio activo de eVP30 (PDB: 9JQK).</w:t>
      </w:r>
    </w:p>
    <w:tbl>
      <w:tblPr>
        <w:tblW w:w="0" w:type="auto"/>
        <w:jc w:val="center"/>
        <w:tblLayout w:type="fixed"/>
        <w:tblLook w:val="04A0" w:firstRow="1" w:lastRow="0" w:firstColumn="1" w:lastColumn="0" w:noHBand="0" w:noVBand="1"/>
      </w:tblPr>
      <w:tblGrid>
        <w:gridCol w:w="9360"/>
      </w:tblGrid>
      <w:tr w:rsidR="00CF0B61" w:rsidRPr="009356E6" w14:paraId="02FD7D2E"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44155F80" w14:textId="77777777" w:rsidR="00CF0B61" w:rsidRPr="005239D4" w:rsidRDefault="00000000">
            <w:pPr>
              <w:spacing w:before="40" w:after="80"/>
              <w:rPr>
                <w:lang w:val="es-MX"/>
              </w:rPr>
            </w:pPr>
            <w:r>
              <w:rPr>
                <w:b/>
                <w:color w:val="003366"/>
                <w:sz w:val="20"/>
              </w:rPr>
              <w:t>📸</w:t>
            </w:r>
            <w:r w:rsidRPr="005239D4">
              <w:rPr>
                <w:b/>
                <w:color w:val="003366"/>
                <w:sz w:val="20"/>
                <w:lang w:val="es-MX"/>
              </w:rPr>
              <w:t xml:space="preserve"> EVIDENCIA / CAPTURA DE PANTALLA REQUERIDA: AutoDockTools - Visualización 3D del Grid Box en el Sitio Activo</w:t>
            </w:r>
            <w:r w:rsidRPr="005239D4">
              <w:rPr>
                <w:b/>
                <w:color w:val="003366"/>
                <w:sz w:val="20"/>
                <w:lang w:val="es-MX"/>
              </w:rPr>
              <w:br/>
            </w:r>
            <w:r w:rsidRPr="005239D4">
              <w:rPr>
                <w:i/>
                <w:sz w:val="19"/>
                <w:lang w:val="es-MX"/>
              </w:rPr>
              <w:t>Inserte aquí la captura de pantalla de ADT mostrando la caja tridimensional transparente (Grid Options) envolviendo completamente al sitio activo y al ligando A1ECX en eVP30.</w:t>
            </w:r>
          </w:p>
        </w:tc>
      </w:tr>
    </w:tbl>
    <w:p w14:paraId="51B812B8" w14:textId="77777777" w:rsidR="00CF0B61" w:rsidRDefault="00CF0B61">
      <w:pPr>
        <w:spacing w:after="120"/>
        <w:rPr>
          <w:lang w:val="es-MX"/>
        </w:rPr>
      </w:pPr>
    </w:p>
    <w:p w14:paraId="05AB4C22" w14:textId="3B835CD1" w:rsidR="0048046B" w:rsidRPr="005239D4" w:rsidRDefault="00137CEF" w:rsidP="00137CEF">
      <w:pPr>
        <w:spacing w:after="120"/>
        <w:jc w:val="center"/>
        <w:rPr>
          <w:lang w:val="es-MX"/>
        </w:rPr>
      </w:pPr>
      <w:r>
        <w:rPr>
          <w:noProof/>
          <w:lang w:val="es-MX"/>
        </w:rPr>
        <w:lastRenderedPageBreak/>
        <w:drawing>
          <wp:inline distT="0" distB="0" distL="0" distR="0" wp14:anchorId="398C80D6" wp14:editId="02916A05">
            <wp:extent cx="5760000" cy="4763077"/>
            <wp:effectExtent l="0" t="0" r="0" b="0"/>
            <wp:docPr id="18842295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29527" name="Imagen 1884229527"/>
                    <pic:cNvPicPr/>
                  </pic:nvPicPr>
                  <pic:blipFill>
                    <a:blip r:embed="rId19"/>
                    <a:stretch>
                      <a:fillRect/>
                    </a:stretch>
                  </pic:blipFill>
                  <pic:spPr>
                    <a:xfrm>
                      <a:off x="0" y="0"/>
                      <a:ext cx="5760000" cy="4763077"/>
                    </a:xfrm>
                    <a:prstGeom prst="rect">
                      <a:avLst/>
                    </a:prstGeom>
                  </pic:spPr>
                </pic:pic>
              </a:graphicData>
            </a:graphic>
          </wp:inline>
        </w:drawing>
      </w:r>
    </w:p>
    <w:p w14:paraId="1DB301DA" w14:textId="77777777" w:rsidR="00CF0B61" w:rsidRPr="005239D4" w:rsidRDefault="00000000">
      <w:pPr>
        <w:pStyle w:val="Ttulo1"/>
        <w:spacing w:before="240" w:after="120"/>
        <w:rPr>
          <w:lang w:val="es-MX"/>
        </w:rPr>
      </w:pPr>
      <w:r w:rsidRPr="005239D4">
        <w:rPr>
          <w:lang w:val="es-MX"/>
        </w:rPr>
        <w:t>4. Configuración y Ejecución del Redocking en AutoDock Vina</w:t>
      </w:r>
    </w:p>
    <w:p w14:paraId="775ACCFA" w14:textId="77777777" w:rsidR="00CF0B61" w:rsidRPr="005239D4" w:rsidRDefault="00000000" w:rsidP="005239D4">
      <w:pPr>
        <w:spacing w:after="160"/>
        <w:jc w:val="both"/>
        <w:rPr>
          <w:lang w:val="es-MX"/>
        </w:rPr>
      </w:pPr>
      <w:r w:rsidRPr="005239D4">
        <w:rPr>
          <w:lang w:val="es-MX"/>
        </w:rPr>
        <w:t xml:space="preserve">Para garantizar la reproducibilidad científica estandarizada a nivel de doctorado, la corrida se ejecutó vía línea de comandos utilizando un archivo de configuración denominado 'config.txt'. Se incrementó el parámetro de exhaustividad de búsqueda ('exhaustiveness') a </w:t>
      </w:r>
      <w:r w:rsidRPr="005239D4">
        <w:rPr>
          <w:color w:val="FF0000"/>
          <w:lang w:val="es-MX"/>
        </w:rPr>
        <w:t>32</w:t>
      </w:r>
      <w:r w:rsidRPr="005239D4">
        <w:rPr>
          <w:lang w:val="es-MX"/>
        </w:rPr>
        <w:t xml:space="preserve"> para asegurar un muestreo conformacional profundo.</w:t>
      </w:r>
    </w:p>
    <w:tbl>
      <w:tblPr>
        <w:tblW w:w="0" w:type="auto"/>
        <w:jc w:val="center"/>
        <w:tblLayout w:type="fixed"/>
        <w:tblLook w:val="04A0" w:firstRow="1" w:lastRow="0" w:firstColumn="1" w:lastColumn="0" w:noHBand="0" w:noVBand="1"/>
      </w:tblPr>
      <w:tblGrid>
        <w:gridCol w:w="9360"/>
      </w:tblGrid>
      <w:tr w:rsidR="00CF0B61" w:rsidRPr="009356E6" w14:paraId="6B7D6FBD" w14:textId="77777777">
        <w:trPr>
          <w:jc w:val="center"/>
        </w:trPr>
        <w:tc>
          <w:tcPr>
            <w:tcW w:w="9360" w:type="dxa"/>
            <w:shd w:val="clear" w:color="auto" w:fill="F4F6F8"/>
            <w:tcMar>
              <w:top w:w="100" w:type="dxa"/>
              <w:left w:w="150" w:type="dxa"/>
              <w:bottom w:w="100" w:type="dxa"/>
              <w:right w:w="150" w:type="dxa"/>
            </w:tcMar>
          </w:tcPr>
          <w:p w14:paraId="71768947" w14:textId="2EFEE0B9" w:rsidR="00CF0B61" w:rsidRPr="005239D4" w:rsidRDefault="00000000">
            <w:pPr>
              <w:spacing w:after="0"/>
              <w:rPr>
                <w:lang w:val="es-MX"/>
              </w:rPr>
            </w:pPr>
            <w:r w:rsidRPr="005239D4">
              <w:rPr>
                <w:rFonts w:ascii="Consolas" w:hAnsi="Consolas"/>
                <w:color w:val="1E1E1E"/>
                <w:sz w:val="18"/>
                <w:lang w:val="es-MX"/>
              </w:rPr>
              <w:t># Archivo de Configuracion AutoDock Vina: config.txt</w:t>
            </w:r>
            <w:r w:rsidRPr="005239D4">
              <w:rPr>
                <w:rFonts w:ascii="Consolas" w:hAnsi="Consolas"/>
                <w:color w:val="1E1E1E"/>
                <w:sz w:val="18"/>
                <w:lang w:val="es-MX"/>
              </w:rPr>
              <w:br/>
              <w:t>receptor = protein_prep.pdbqt</w:t>
            </w:r>
            <w:r w:rsidRPr="005239D4">
              <w:rPr>
                <w:rFonts w:ascii="Consolas" w:hAnsi="Consolas"/>
                <w:color w:val="1E1E1E"/>
                <w:sz w:val="18"/>
                <w:lang w:val="es-MX"/>
              </w:rPr>
              <w:br/>
              <w:t>ligand   = ligand_prep.pdbqt</w:t>
            </w:r>
            <w:r w:rsidRPr="005239D4">
              <w:rPr>
                <w:rFonts w:ascii="Consolas" w:hAnsi="Consolas"/>
                <w:color w:val="1E1E1E"/>
                <w:sz w:val="18"/>
                <w:lang w:val="es-MX"/>
              </w:rPr>
              <w:br/>
            </w:r>
            <w:r w:rsidRPr="005239D4">
              <w:rPr>
                <w:rFonts w:ascii="Consolas" w:hAnsi="Consolas"/>
                <w:color w:val="1E1E1E"/>
                <w:sz w:val="18"/>
                <w:lang w:val="es-MX"/>
              </w:rPr>
              <w:br/>
              <w:t>center_x = 12.450</w:t>
            </w:r>
            <w:r w:rsidRPr="005239D4">
              <w:rPr>
                <w:rFonts w:ascii="Consolas" w:hAnsi="Consolas"/>
                <w:color w:val="1E1E1E"/>
                <w:sz w:val="18"/>
                <w:lang w:val="es-MX"/>
              </w:rPr>
              <w:br/>
              <w:t>center_y = -8.320</w:t>
            </w:r>
            <w:r w:rsidRPr="005239D4">
              <w:rPr>
                <w:rFonts w:ascii="Consolas" w:hAnsi="Consolas"/>
                <w:color w:val="1E1E1E"/>
                <w:sz w:val="18"/>
                <w:lang w:val="es-MX"/>
              </w:rPr>
              <w:br/>
              <w:t>center_z = 24.180</w:t>
            </w:r>
            <w:r w:rsidRPr="005239D4">
              <w:rPr>
                <w:rFonts w:ascii="Consolas" w:hAnsi="Consolas"/>
                <w:color w:val="1E1E1E"/>
                <w:sz w:val="18"/>
                <w:lang w:val="es-MX"/>
              </w:rPr>
              <w:br/>
            </w:r>
            <w:r w:rsidRPr="005239D4">
              <w:rPr>
                <w:rFonts w:ascii="Consolas" w:hAnsi="Consolas"/>
                <w:color w:val="1E1E1E"/>
                <w:sz w:val="18"/>
                <w:lang w:val="es-MX"/>
              </w:rPr>
              <w:br/>
              <w:t>size_x = 22.0</w:t>
            </w:r>
            <w:r w:rsidRPr="005239D4">
              <w:rPr>
                <w:rFonts w:ascii="Consolas" w:hAnsi="Consolas"/>
                <w:color w:val="1E1E1E"/>
                <w:sz w:val="18"/>
                <w:lang w:val="es-MX"/>
              </w:rPr>
              <w:br/>
              <w:t>size_y = 22.0</w:t>
            </w:r>
            <w:r w:rsidRPr="005239D4">
              <w:rPr>
                <w:rFonts w:ascii="Consolas" w:hAnsi="Consolas"/>
                <w:color w:val="1E1E1E"/>
                <w:sz w:val="18"/>
                <w:lang w:val="es-MX"/>
              </w:rPr>
              <w:br/>
              <w:t>size_z = 22.0</w:t>
            </w:r>
            <w:r w:rsidRPr="005239D4">
              <w:rPr>
                <w:rFonts w:ascii="Consolas" w:hAnsi="Consolas"/>
                <w:color w:val="1E1E1E"/>
                <w:sz w:val="18"/>
                <w:lang w:val="es-MX"/>
              </w:rPr>
              <w:br/>
            </w:r>
            <w:r w:rsidRPr="005239D4">
              <w:rPr>
                <w:rFonts w:ascii="Consolas" w:hAnsi="Consolas"/>
                <w:color w:val="1E1E1E"/>
                <w:sz w:val="18"/>
                <w:lang w:val="es-MX"/>
              </w:rPr>
              <w:br/>
            </w:r>
            <w:r w:rsidRPr="005239D4">
              <w:rPr>
                <w:rFonts w:ascii="Consolas" w:hAnsi="Consolas"/>
                <w:color w:val="1E1E1E"/>
                <w:sz w:val="18"/>
                <w:lang w:val="es-MX"/>
              </w:rPr>
              <w:lastRenderedPageBreak/>
              <w:t>exhaustiveness = 32</w:t>
            </w:r>
            <w:r w:rsidRPr="005239D4">
              <w:rPr>
                <w:rFonts w:ascii="Consolas" w:hAnsi="Consolas"/>
                <w:color w:val="1E1E1E"/>
                <w:sz w:val="18"/>
                <w:lang w:val="es-MX"/>
              </w:rPr>
              <w:br/>
              <w:t>num_modes = 10</w:t>
            </w:r>
            <w:r w:rsidRPr="005239D4">
              <w:rPr>
                <w:rFonts w:ascii="Consolas" w:hAnsi="Consolas"/>
                <w:color w:val="1E1E1E"/>
                <w:sz w:val="18"/>
                <w:lang w:val="es-MX"/>
              </w:rPr>
              <w:br/>
              <w:t>energy_range = 3</w:t>
            </w:r>
            <w:r w:rsidRPr="005239D4">
              <w:rPr>
                <w:rFonts w:ascii="Consolas" w:hAnsi="Consolas"/>
                <w:color w:val="1E1E1E"/>
                <w:sz w:val="18"/>
                <w:lang w:val="es-MX"/>
              </w:rPr>
              <w:br/>
            </w:r>
            <w:r w:rsidRPr="005239D4">
              <w:rPr>
                <w:rFonts w:ascii="Consolas" w:hAnsi="Consolas"/>
                <w:color w:val="1E1E1E"/>
                <w:sz w:val="18"/>
                <w:lang w:val="es-MX"/>
              </w:rPr>
              <w:br/>
              <w:t># Comando de ejecucion en Terminal:</w:t>
            </w:r>
            <w:r w:rsidRPr="005239D4">
              <w:rPr>
                <w:rFonts w:ascii="Consolas" w:hAnsi="Consolas"/>
                <w:color w:val="1E1E1E"/>
                <w:sz w:val="18"/>
                <w:lang w:val="es-MX"/>
              </w:rPr>
              <w:br/>
              <w:t xml:space="preserve">$ vina </w:t>
            </w:r>
          </w:p>
        </w:tc>
      </w:tr>
    </w:tbl>
    <w:p w14:paraId="463484BE" w14:textId="77777777" w:rsidR="00CF0B61" w:rsidRPr="005239D4" w:rsidRDefault="00CF0B61">
      <w:pPr>
        <w:spacing w:after="160"/>
        <w:rPr>
          <w:lang w:val="es-MX"/>
        </w:rPr>
      </w:pPr>
    </w:p>
    <w:tbl>
      <w:tblPr>
        <w:tblW w:w="0" w:type="auto"/>
        <w:jc w:val="center"/>
        <w:tblLayout w:type="fixed"/>
        <w:tblLook w:val="04A0" w:firstRow="1" w:lastRow="0" w:firstColumn="1" w:lastColumn="0" w:noHBand="0" w:noVBand="1"/>
      </w:tblPr>
      <w:tblGrid>
        <w:gridCol w:w="9360"/>
      </w:tblGrid>
      <w:tr w:rsidR="00CF0B61" w:rsidRPr="009356E6" w14:paraId="7EF1FC96"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67D55A31" w14:textId="77777777" w:rsidR="00CF0B61" w:rsidRPr="005239D4" w:rsidRDefault="00000000">
            <w:pPr>
              <w:spacing w:before="40" w:after="80"/>
              <w:rPr>
                <w:lang w:val="es-MX"/>
              </w:rPr>
            </w:pPr>
            <w:r>
              <w:rPr>
                <w:b/>
                <w:color w:val="003366"/>
                <w:sz w:val="20"/>
              </w:rPr>
              <w:t>📸</w:t>
            </w:r>
            <w:r w:rsidRPr="005239D4">
              <w:rPr>
                <w:b/>
                <w:color w:val="003366"/>
                <w:sz w:val="20"/>
                <w:lang w:val="es-MX"/>
              </w:rPr>
              <w:t xml:space="preserve"> EVIDENCIA / CAPTURA DE PANTALLA REQUERIDA: Línea de Comandos / Terminal - Salida de Ejecución de Vina</w:t>
            </w:r>
            <w:r w:rsidRPr="005239D4">
              <w:rPr>
                <w:b/>
                <w:color w:val="003366"/>
                <w:sz w:val="20"/>
                <w:lang w:val="es-MX"/>
              </w:rPr>
              <w:br/>
            </w:r>
            <w:r w:rsidRPr="005239D4">
              <w:rPr>
                <w:i/>
                <w:sz w:val="19"/>
                <w:lang w:val="es-MX"/>
              </w:rPr>
              <w:t>Inserte aquí la captura de pantalla de la terminal mostrando la ejecución del comando Vina y la tabla de resultados de energía calculados en la terminal.</w:t>
            </w:r>
          </w:p>
        </w:tc>
      </w:tr>
    </w:tbl>
    <w:p w14:paraId="0644419F" w14:textId="77777777" w:rsidR="00137CEF" w:rsidRDefault="00137CEF" w:rsidP="00137CEF">
      <w:pPr>
        <w:spacing w:after="120"/>
        <w:jc w:val="center"/>
        <w:rPr>
          <w:lang w:val="es-MX"/>
        </w:rPr>
      </w:pPr>
    </w:p>
    <w:p w14:paraId="24741130" w14:textId="1D3B47F5" w:rsidR="00CF0B61" w:rsidRPr="005239D4" w:rsidRDefault="00137CEF" w:rsidP="00137CEF">
      <w:pPr>
        <w:spacing w:after="120"/>
        <w:jc w:val="center"/>
        <w:rPr>
          <w:lang w:val="es-MX"/>
        </w:rPr>
      </w:pPr>
      <w:r>
        <w:rPr>
          <w:noProof/>
          <w:lang w:val="es-MX"/>
        </w:rPr>
        <w:drawing>
          <wp:inline distT="0" distB="0" distL="0" distR="0" wp14:anchorId="485C495A" wp14:editId="2DA3DE35">
            <wp:extent cx="4936902" cy="5400000"/>
            <wp:effectExtent l="0" t="0" r="3810" b="0"/>
            <wp:docPr id="181456863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68631" name="Imagen 1814568631"/>
                    <pic:cNvPicPr/>
                  </pic:nvPicPr>
                  <pic:blipFill>
                    <a:blip r:embed="rId20"/>
                    <a:stretch>
                      <a:fillRect/>
                    </a:stretch>
                  </pic:blipFill>
                  <pic:spPr>
                    <a:xfrm>
                      <a:off x="0" y="0"/>
                      <a:ext cx="4936902" cy="5400000"/>
                    </a:xfrm>
                    <a:prstGeom prst="rect">
                      <a:avLst/>
                    </a:prstGeom>
                  </pic:spPr>
                </pic:pic>
              </a:graphicData>
            </a:graphic>
          </wp:inline>
        </w:drawing>
      </w:r>
    </w:p>
    <w:p w14:paraId="13C41A4F" w14:textId="77777777" w:rsidR="00CF0B61" w:rsidRPr="005239D4" w:rsidRDefault="00000000">
      <w:pPr>
        <w:pStyle w:val="Ttulo1"/>
        <w:spacing w:before="240" w:after="120"/>
        <w:rPr>
          <w:lang w:val="es-MX"/>
        </w:rPr>
      </w:pPr>
      <w:r w:rsidRPr="005239D4">
        <w:rPr>
          <w:lang w:val="es-MX"/>
        </w:rPr>
        <w:lastRenderedPageBreak/>
        <w:t>5. Resultados del Docking y Validación cuantitativa de RMSD</w:t>
      </w:r>
    </w:p>
    <w:p w14:paraId="65320131" w14:textId="6ACE5FCE" w:rsidR="00CF0B61" w:rsidRDefault="00000000" w:rsidP="00D5678A">
      <w:pPr>
        <w:spacing w:after="160"/>
        <w:jc w:val="both"/>
        <w:rPr>
          <w:lang w:val="es-MX"/>
        </w:rPr>
      </w:pPr>
      <w:r w:rsidRPr="005239D4">
        <w:rPr>
          <w:lang w:val="es-MX"/>
        </w:rPr>
        <w:t xml:space="preserve">La simulación de redocking produjo 9 conformaciones (poses) principales. La pose con la menor energía libre de unión calculada (Top-1 Pose) presentó un valor de </w:t>
      </w:r>
      <w:r>
        <w:t>Δ</w:t>
      </w:r>
      <w:r w:rsidRPr="005239D4">
        <w:rPr>
          <w:lang w:val="es-MX"/>
        </w:rPr>
        <w:t xml:space="preserve">G = </w:t>
      </w:r>
      <w:r w:rsidRPr="00137CEF">
        <w:rPr>
          <w:color w:val="auto"/>
          <w:lang w:val="es-MX"/>
        </w:rPr>
        <w:t>-</w:t>
      </w:r>
      <w:r w:rsidR="00137CEF" w:rsidRPr="00137CEF">
        <w:rPr>
          <w:color w:val="auto"/>
          <w:lang w:val="es-MX"/>
        </w:rPr>
        <w:t>4.903</w:t>
      </w:r>
      <w:r w:rsidRPr="00D5678A">
        <w:rPr>
          <w:color w:val="FF0000"/>
          <w:lang w:val="es-MX"/>
        </w:rPr>
        <w:t xml:space="preserve"> </w:t>
      </w:r>
      <w:r w:rsidRPr="005239D4">
        <w:rPr>
          <w:lang w:val="es-MX"/>
        </w:rPr>
        <w:t>kcal/mol. A continuación se detallan las energías y las desviaciones RMSD con respecto a la pose cristalográfica experimental:</w:t>
      </w:r>
    </w:p>
    <w:p w14:paraId="26DAD251" w14:textId="77777777" w:rsidR="00D5678A" w:rsidRPr="005239D4" w:rsidRDefault="00D5678A" w:rsidP="00D5678A">
      <w:pPr>
        <w:spacing w:after="160"/>
        <w:jc w:val="both"/>
        <w:rPr>
          <w:lang w:val="es-MX"/>
        </w:rPr>
      </w:pPr>
    </w:p>
    <w:tbl>
      <w:tblPr>
        <w:tblStyle w:val="Tablaconcuadrcula"/>
        <w:tblW w:w="0" w:type="auto"/>
        <w:jc w:val="center"/>
        <w:tblLayout w:type="fixed"/>
        <w:tblLook w:val="04A0" w:firstRow="1" w:lastRow="0" w:firstColumn="1" w:lastColumn="0" w:noHBand="0" w:noVBand="1"/>
      </w:tblPr>
      <w:tblGrid>
        <w:gridCol w:w="1728"/>
        <w:gridCol w:w="2592"/>
        <w:gridCol w:w="2448"/>
        <w:gridCol w:w="2592"/>
      </w:tblGrid>
      <w:tr w:rsidR="00CF0B61" w14:paraId="082CF966" w14:textId="77777777">
        <w:trPr>
          <w:jc w:val="center"/>
        </w:trPr>
        <w:tc>
          <w:tcPr>
            <w:tcW w:w="1728" w:type="dxa"/>
            <w:shd w:val="clear" w:color="auto" w:fill="003366"/>
            <w:tcMar>
              <w:top w:w="100" w:type="dxa"/>
              <w:left w:w="100" w:type="dxa"/>
              <w:bottom w:w="100" w:type="dxa"/>
              <w:right w:w="100" w:type="dxa"/>
            </w:tcMar>
          </w:tcPr>
          <w:p w14:paraId="4A64B35B" w14:textId="77777777" w:rsidR="00CF0B61" w:rsidRDefault="00000000">
            <w:pPr>
              <w:jc w:val="center"/>
            </w:pPr>
            <w:r>
              <w:rPr>
                <w:b/>
                <w:color w:val="FFFFFF"/>
                <w:sz w:val="19"/>
              </w:rPr>
              <w:t>Modo / Pose</w:t>
            </w:r>
          </w:p>
        </w:tc>
        <w:tc>
          <w:tcPr>
            <w:tcW w:w="2592" w:type="dxa"/>
            <w:shd w:val="clear" w:color="auto" w:fill="003366"/>
            <w:tcMar>
              <w:top w:w="100" w:type="dxa"/>
              <w:left w:w="100" w:type="dxa"/>
              <w:bottom w:w="100" w:type="dxa"/>
              <w:right w:w="100" w:type="dxa"/>
            </w:tcMar>
          </w:tcPr>
          <w:p w14:paraId="14417BE2" w14:textId="77777777" w:rsidR="00CF0B61" w:rsidRDefault="00000000">
            <w:pPr>
              <w:jc w:val="center"/>
            </w:pPr>
            <w:r>
              <w:rPr>
                <w:b/>
                <w:color w:val="FFFFFF"/>
                <w:sz w:val="19"/>
              </w:rPr>
              <w:t>Afinidad (kcal/mol)</w:t>
            </w:r>
          </w:p>
        </w:tc>
        <w:tc>
          <w:tcPr>
            <w:tcW w:w="2448" w:type="dxa"/>
            <w:shd w:val="clear" w:color="auto" w:fill="003366"/>
            <w:tcMar>
              <w:top w:w="100" w:type="dxa"/>
              <w:left w:w="100" w:type="dxa"/>
              <w:bottom w:w="100" w:type="dxa"/>
              <w:right w:w="100" w:type="dxa"/>
            </w:tcMar>
          </w:tcPr>
          <w:p w14:paraId="2F3A4E11" w14:textId="77777777" w:rsidR="00CF0B61" w:rsidRDefault="00000000">
            <w:pPr>
              <w:jc w:val="center"/>
            </w:pPr>
            <w:r>
              <w:rPr>
                <w:b/>
                <w:color w:val="FFFFFF"/>
                <w:sz w:val="19"/>
              </w:rPr>
              <w:t>RMSD Lower Bound (Å)</w:t>
            </w:r>
          </w:p>
        </w:tc>
        <w:tc>
          <w:tcPr>
            <w:tcW w:w="2592" w:type="dxa"/>
            <w:shd w:val="clear" w:color="auto" w:fill="003366"/>
            <w:tcMar>
              <w:top w:w="100" w:type="dxa"/>
              <w:left w:w="100" w:type="dxa"/>
              <w:bottom w:w="100" w:type="dxa"/>
              <w:right w:w="100" w:type="dxa"/>
            </w:tcMar>
          </w:tcPr>
          <w:p w14:paraId="6AD1A828" w14:textId="77777777" w:rsidR="00CF0B61" w:rsidRDefault="00000000">
            <w:pPr>
              <w:jc w:val="center"/>
            </w:pPr>
            <w:r>
              <w:rPr>
                <w:b/>
                <w:color w:val="FFFFFF"/>
                <w:sz w:val="19"/>
              </w:rPr>
              <w:t>RMSD Upper Bound (Å)</w:t>
            </w:r>
          </w:p>
        </w:tc>
      </w:tr>
      <w:tr w:rsidR="00CF0B61" w14:paraId="7F4B9312" w14:textId="77777777">
        <w:trPr>
          <w:jc w:val="center"/>
        </w:trPr>
        <w:tc>
          <w:tcPr>
            <w:tcW w:w="1728" w:type="dxa"/>
            <w:shd w:val="clear" w:color="auto" w:fill="E6ECF2"/>
            <w:tcMar>
              <w:top w:w="80" w:type="dxa"/>
              <w:left w:w="100" w:type="dxa"/>
              <w:bottom w:w="80" w:type="dxa"/>
              <w:right w:w="100" w:type="dxa"/>
            </w:tcMar>
          </w:tcPr>
          <w:p w14:paraId="40688310" w14:textId="77777777" w:rsidR="00CF0B61" w:rsidRDefault="00000000">
            <w:pPr>
              <w:jc w:val="center"/>
            </w:pPr>
            <w:r>
              <w:rPr>
                <w:b/>
                <w:color w:val="003366"/>
                <w:sz w:val="19"/>
              </w:rPr>
              <w:t>1 (Top Pose)</w:t>
            </w:r>
          </w:p>
        </w:tc>
        <w:tc>
          <w:tcPr>
            <w:tcW w:w="2592" w:type="dxa"/>
            <w:shd w:val="clear" w:color="auto" w:fill="E6ECF2"/>
            <w:tcMar>
              <w:top w:w="80" w:type="dxa"/>
              <w:left w:w="100" w:type="dxa"/>
              <w:bottom w:w="80" w:type="dxa"/>
              <w:right w:w="100" w:type="dxa"/>
            </w:tcMar>
          </w:tcPr>
          <w:p w14:paraId="0478E1D2" w14:textId="6BA31E76" w:rsidR="00CF0B61" w:rsidRPr="00137CEF" w:rsidRDefault="00137CEF">
            <w:pPr>
              <w:jc w:val="center"/>
              <w:rPr>
                <w:color w:val="auto"/>
              </w:rPr>
            </w:pPr>
            <w:r w:rsidRPr="00137CEF">
              <w:rPr>
                <w:b/>
                <w:color w:val="auto"/>
                <w:sz w:val="19"/>
              </w:rPr>
              <w:t>-4.903</w:t>
            </w:r>
          </w:p>
        </w:tc>
        <w:tc>
          <w:tcPr>
            <w:tcW w:w="2448" w:type="dxa"/>
            <w:shd w:val="clear" w:color="auto" w:fill="E6ECF2"/>
            <w:tcMar>
              <w:top w:w="80" w:type="dxa"/>
              <w:left w:w="100" w:type="dxa"/>
              <w:bottom w:w="80" w:type="dxa"/>
              <w:right w:w="100" w:type="dxa"/>
            </w:tcMar>
          </w:tcPr>
          <w:p w14:paraId="2C7BE312" w14:textId="7ABF940F" w:rsidR="00CF0B61" w:rsidRPr="00137CEF" w:rsidRDefault="00000000">
            <w:pPr>
              <w:jc w:val="center"/>
              <w:rPr>
                <w:color w:val="auto"/>
              </w:rPr>
            </w:pPr>
            <w:r w:rsidRPr="00137CEF">
              <w:rPr>
                <w:b/>
                <w:color w:val="auto"/>
                <w:sz w:val="19"/>
              </w:rPr>
              <w:t>0</w:t>
            </w:r>
          </w:p>
        </w:tc>
        <w:tc>
          <w:tcPr>
            <w:tcW w:w="2592" w:type="dxa"/>
            <w:shd w:val="clear" w:color="auto" w:fill="E6ECF2"/>
            <w:tcMar>
              <w:top w:w="80" w:type="dxa"/>
              <w:left w:w="100" w:type="dxa"/>
              <w:bottom w:w="80" w:type="dxa"/>
              <w:right w:w="100" w:type="dxa"/>
            </w:tcMar>
          </w:tcPr>
          <w:p w14:paraId="27C302B5" w14:textId="22D99359" w:rsidR="00CF0B61" w:rsidRPr="00137CEF" w:rsidRDefault="00137CEF">
            <w:pPr>
              <w:jc w:val="center"/>
              <w:rPr>
                <w:color w:val="auto"/>
              </w:rPr>
            </w:pPr>
            <w:r w:rsidRPr="00137CEF">
              <w:rPr>
                <w:b/>
                <w:color w:val="auto"/>
                <w:sz w:val="19"/>
              </w:rPr>
              <w:t>0</w:t>
            </w:r>
          </w:p>
        </w:tc>
      </w:tr>
      <w:tr w:rsidR="00CF0B61" w14:paraId="3A476B54" w14:textId="77777777">
        <w:trPr>
          <w:jc w:val="center"/>
        </w:trPr>
        <w:tc>
          <w:tcPr>
            <w:tcW w:w="1728" w:type="dxa"/>
            <w:shd w:val="clear" w:color="auto" w:fill="FFFFFF"/>
            <w:tcMar>
              <w:top w:w="80" w:type="dxa"/>
              <w:left w:w="100" w:type="dxa"/>
              <w:bottom w:w="80" w:type="dxa"/>
              <w:right w:w="100" w:type="dxa"/>
            </w:tcMar>
          </w:tcPr>
          <w:p w14:paraId="11561805" w14:textId="77777777" w:rsidR="00CF0B61" w:rsidRDefault="00000000">
            <w:pPr>
              <w:jc w:val="center"/>
            </w:pPr>
            <w:r>
              <w:rPr>
                <w:sz w:val="19"/>
              </w:rPr>
              <w:t>2</w:t>
            </w:r>
          </w:p>
        </w:tc>
        <w:tc>
          <w:tcPr>
            <w:tcW w:w="2592" w:type="dxa"/>
            <w:shd w:val="clear" w:color="auto" w:fill="FFFFFF"/>
            <w:tcMar>
              <w:top w:w="80" w:type="dxa"/>
              <w:left w:w="100" w:type="dxa"/>
              <w:bottom w:w="80" w:type="dxa"/>
              <w:right w:w="100" w:type="dxa"/>
            </w:tcMar>
          </w:tcPr>
          <w:p w14:paraId="2EE442AC" w14:textId="4B4238A9" w:rsidR="00CF0B61" w:rsidRPr="00137CEF" w:rsidRDefault="00137CEF">
            <w:pPr>
              <w:jc w:val="center"/>
              <w:rPr>
                <w:color w:val="auto"/>
              </w:rPr>
            </w:pPr>
            <w:r w:rsidRPr="00137CEF">
              <w:rPr>
                <w:color w:val="auto"/>
                <w:sz w:val="19"/>
              </w:rPr>
              <w:t>-4.561</w:t>
            </w:r>
          </w:p>
        </w:tc>
        <w:tc>
          <w:tcPr>
            <w:tcW w:w="2448" w:type="dxa"/>
            <w:shd w:val="clear" w:color="auto" w:fill="FFFFFF"/>
            <w:tcMar>
              <w:top w:w="80" w:type="dxa"/>
              <w:left w:w="100" w:type="dxa"/>
              <w:bottom w:w="80" w:type="dxa"/>
              <w:right w:w="100" w:type="dxa"/>
            </w:tcMar>
          </w:tcPr>
          <w:p w14:paraId="05DE8592" w14:textId="13A9213D" w:rsidR="00CF0B61" w:rsidRPr="00137CEF" w:rsidRDefault="00000000">
            <w:pPr>
              <w:jc w:val="center"/>
              <w:rPr>
                <w:color w:val="auto"/>
              </w:rPr>
            </w:pPr>
            <w:r w:rsidRPr="00137CEF">
              <w:rPr>
                <w:color w:val="auto"/>
                <w:sz w:val="19"/>
              </w:rPr>
              <w:t>1.</w:t>
            </w:r>
            <w:r w:rsidR="00137CEF" w:rsidRPr="00137CEF">
              <w:rPr>
                <w:color w:val="auto"/>
                <w:sz w:val="19"/>
              </w:rPr>
              <w:t>817</w:t>
            </w:r>
          </w:p>
        </w:tc>
        <w:tc>
          <w:tcPr>
            <w:tcW w:w="2592" w:type="dxa"/>
            <w:shd w:val="clear" w:color="auto" w:fill="FFFFFF"/>
            <w:tcMar>
              <w:top w:w="80" w:type="dxa"/>
              <w:left w:w="100" w:type="dxa"/>
              <w:bottom w:w="80" w:type="dxa"/>
              <w:right w:w="100" w:type="dxa"/>
            </w:tcMar>
          </w:tcPr>
          <w:p w14:paraId="44B6F7A6" w14:textId="1A82196A" w:rsidR="00CF0B61" w:rsidRPr="00137CEF" w:rsidRDefault="00137CEF">
            <w:pPr>
              <w:jc w:val="center"/>
              <w:rPr>
                <w:color w:val="auto"/>
              </w:rPr>
            </w:pPr>
            <w:r w:rsidRPr="00137CEF">
              <w:rPr>
                <w:color w:val="auto"/>
                <w:sz w:val="19"/>
              </w:rPr>
              <w:t>2.537</w:t>
            </w:r>
          </w:p>
        </w:tc>
      </w:tr>
      <w:tr w:rsidR="00CF0B61" w14:paraId="435C5784" w14:textId="77777777">
        <w:trPr>
          <w:jc w:val="center"/>
        </w:trPr>
        <w:tc>
          <w:tcPr>
            <w:tcW w:w="1728" w:type="dxa"/>
            <w:shd w:val="clear" w:color="auto" w:fill="F9FBFD"/>
            <w:tcMar>
              <w:top w:w="80" w:type="dxa"/>
              <w:left w:w="100" w:type="dxa"/>
              <w:bottom w:w="80" w:type="dxa"/>
              <w:right w:w="100" w:type="dxa"/>
            </w:tcMar>
          </w:tcPr>
          <w:p w14:paraId="60ED4F0E" w14:textId="77777777" w:rsidR="00CF0B61" w:rsidRDefault="00000000">
            <w:pPr>
              <w:jc w:val="center"/>
            </w:pPr>
            <w:r>
              <w:rPr>
                <w:sz w:val="19"/>
              </w:rPr>
              <w:t>3</w:t>
            </w:r>
          </w:p>
        </w:tc>
        <w:tc>
          <w:tcPr>
            <w:tcW w:w="2592" w:type="dxa"/>
            <w:shd w:val="clear" w:color="auto" w:fill="F9FBFD"/>
            <w:tcMar>
              <w:top w:w="80" w:type="dxa"/>
              <w:left w:w="100" w:type="dxa"/>
              <w:bottom w:w="80" w:type="dxa"/>
              <w:right w:w="100" w:type="dxa"/>
            </w:tcMar>
          </w:tcPr>
          <w:p w14:paraId="0AFEA840" w14:textId="4E35F6F8" w:rsidR="00CF0B61" w:rsidRPr="00137CEF" w:rsidRDefault="00137CEF">
            <w:pPr>
              <w:jc w:val="center"/>
              <w:rPr>
                <w:color w:val="auto"/>
              </w:rPr>
            </w:pPr>
            <w:r w:rsidRPr="00137CEF">
              <w:rPr>
                <w:color w:val="auto"/>
                <w:sz w:val="19"/>
              </w:rPr>
              <w:t>-4.398</w:t>
            </w:r>
          </w:p>
        </w:tc>
        <w:tc>
          <w:tcPr>
            <w:tcW w:w="2448" w:type="dxa"/>
            <w:shd w:val="clear" w:color="auto" w:fill="F9FBFD"/>
            <w:tcMar>
              <w:top w:w="80" w:type="dxa"/>
              <w:left w:w="100" w:type="dxa"/>
              <w:bottom w:w="80" w:type="dxa"/>
              <w:right w:w="100" w:type="dxa"/>
            </w:tcMar>
          </w:tcPr>
          <w:p w14:paraId="668962C2" w14:textId="39B4C9CD" w:rsidR="00CF0B61" w:rsidRPr="00137CEF" w:rsidRDefault="00000000">
            <w:pPr>
              <w:jc w:val="center"/>
              <w:rPr>
                <w:color w:val="auto"/>
              </w:rPr>
            </w:pPr>
            <w:r w:rsidRPr="00137CEF">
              <w:rPr>
                <w:color w:val="auto"/>
                <w:sz w:val="19"/>
              </w:rPr>
              <w:t>2.</w:t>
            </w:r>
            <w:r w:rsidR="00137CEF" w:rsidRPr="00137CEF">
              <w:rPr>
                <w:color w:val="auto"/>
                <w:sz w:val="19"/>
              </w:rPr>
              <w:t>519</w:t>
            </w:r>
          </w:p>
        </w:tc>
        <w:tc>
          <w:tcPr>
            <w:tcW w:w="2592" w:type="dxa"/>
            <w:shd w:val="clear" w:color="auto" w:fill="F9FBFD"/>
            <w:tcMar>
              <w:top w:w="80" w:type="dxa"/>
              <w:left w:w="100" w:type="dxa"/>
              <w:bottom w:w="80" w:type="dxa"/>
              <w:right w:w="100" w:type="dxa"/>
            </w:tcMar>
          </w:tcPr>
          <w:p w14:paraId="3F9E9F91" w14:textId="57E9D659" w:rsidR="00CF0B61" w:rsidRPr="00137CEF" w:rsidRDefault="00137CEF">
            <w:pPr>
              <w:jc w:val="center"/>
              <w:rPr>
                <w:color w:val="auto"/>
              </w:rPr>
            </w:pPr>
            <w:r w:rsidRPr="00137CEF">
              <w:rPr>
                <w:color w:val="auto"/>
                <w:sz w:val="19"/>
              </w:rPr>
              <w:t>4.174</w:t>
            </w:r>
          </w:p>
        </w:tc>
      </w:tr>
      <w:tr w:rsidR="00CF0B61" w14:paraId="09D5EA36" w14:textId="77777777">
        <w:trPr>
          <w:jc w:val="center"/>
        </w:trPr>
        <w:tc>
          <w:tcPr>
            <w:tcW w:w="1728" w:type="dxa"/>
            <w:shd w:val="clear" w:color="auto" w:fill="FFFFFF"/>
            <w:tcMar>
              <w:top w:w="80" w:type="dxa"/>
              <w:left w:w="100" w:type="dxa"/>
              <w:bottom w:w="80" w:type="dxa"/>
              <w:right w:w="100" w:type="dxa"/>
            </w:tcMar>
          </w:tcPr>
          <w:p w14:paraId="489634A0" w14:textId="77777777" w:rsidR="00CF0B61" w:rsidRDefault="00000000">
            <w:pPr>
              <w:jc w:val="center"/>
            </w:pPr>
            <w:r>
              <w:rPr>
                <w:sz w:val="19"/>
              </w:rPr>
              <w:t>4</w:t>
            </w:r>
          </w:p>
        </w:tc>
        <w:tc>
          <w:tcPr>
            <w:tcW w:w="2592" w:type="dxa"/>
            <w:shd w:val="clear" w:color="auto" w:fill="FFFFFF"/>
            <w:tcMar>
              <w:top w:w="80" w:type="dxa"/>
              <w:left w:w="100" w:type="dxa"/>
              <w:bottom w:w="80" w:type="dxa"/>
              <w:right w:w="100" w:type="dxa"/>
            </w:tcMar>
          </w:tcPr>
          <w:p w14:paraId="456DB784" w14:textId="0391B0E7" w:rsidR="00CF0B61" w:rsidRPr="00137CEF" w:rsidRDefault="00137CEF">
            <w:pPr>
              <w:jc w:val="center"/>
              <w:rPr>
                <w:color w:val="auto"/>
              </w:rPr>
            </w:pPr>
            <w:r w:rsidRPr="00137CEF">
              <w:rPr>
                <w:color w:val="auto"/>
                <w:sz w:val="19"/>
              </w:rPr>
              <w:t>-4.327</w:t>
            </w:r>
          </w:p>
        </w:tc>
        <w:tc>
          <w:tcPr>
            <w:tcW w:w="2448" w:type="dxa"/>
            <w:shd w:val="clear" w:color="auto" w:fill="FFFFFF"/>
            <w:tcMar>
              <w:top w:w="80" w:type="dxa"/>
              <w:left w:w="100" w:type="dxa"/>
              <w:bottom w:w="80" w:type="dxa"/>
              <w:right w:w="100" w:type="dxa"/>
            </w:tcMar>
          </w:tcPr>
          <w:p w14:paraId="1D26112E" w14:textId="0AF4C28B" w:rsidR="00CF0B61" w:rsidRPr="00137CEF" w:rsidRDefault="00137CEF">
            <w:pPr>
              <w:jc w:val="center"/>
              <w:rPr>
                <w:color w:val="auto"/>
              </w:rPr>
            </w:pPr>
            <w:r w:rsidRPr="00137CEF">
              <w:rPr>
                <w:color w:val="auto"/>
                <w:sz w:val="19"/>
              </w:rPr>
              <w:t>2.32</w:t>
            </w:r>
          </w:p>
        </w:tc>
        <w:tc>
          <w:tcPr>
            <w:tcW w:w="2592" w:type="dxa"/>
            <w:shd w:val="clear" w:color="auto" w:fill="FFFFFF"/>
            <w:tcMar>
              <w:top w:w="80" w:type="dxa"/>
              <w:left w:w="100" w:type="dxa"/>
              <w:bottom w:w="80" w:type="dxa"/>
              <w:right w:w="100" w:type="dxa"/>
            </w:tcMar>
          </w:tcPr>
          <w:p w14:paraId="586DDD76" w14:textId="6133B9AB" w:rsidR="00CF0B61" w:rsidRPr="00137CEF" w:rsidRDefault="00137CEF">
            <w:pPr>
              <w:jc w:val="center"/>
              <w:rPr>
                <w:color w:val="auto"/>
              </w:rPr>
            </w:pPr>
            <w:r w:rsidRPr="00137CEF">
              <w:rPr>
                <w:color w:val="auto"/>
                <w:sz w:val="19"/>
              </w:rPr>
              <w:t>3.52</w:t>
            </w:r>
          </w:p>
        </w:tc>
      </w:tr>
      <w:tr w:rsidR="00CF0B61" w14:paraId="76F57BF9" w14:textId="77777777">
        <w:trPr>
          <w:jc w:val="center"/>
        </w:trPr>
        <w:tc>
          <w:tcPr>
            <w:tcW w:w="1728" w:type="dxa"/>
            <w:shd w:val="clear" w:color="auto" w:fill="F9FBFD"/>
            <w:tcMar>
              <w:top w:w="80" w:type="dxa"/>
              <w:left w:w="100" w:type="dxa"/>
              <w:bottom w:w="80" w:type="dxa"/>
              <w:right w:w="100" w:type="dxa"/>
            </w:tcMar>
          </w:tcPr>
          <w:p w14:paraId="6E86D422" w14:textId="77777777" w:rsidR="00CF0B61" w:rsidRDefault="00000000">
            <w:pPr>
              <w:jc w:val="center"/>
            </w:pPr>
            <w:r>
              <w:rPr>
                <w:sz w:val="19"/>
              </w:rPr>
              <w:t>5</w:t>
            </w:r>
          </w:p>
        </w:tc>
        <w:tc>
          <w:tcPr>
            <w:tcW w:w="2592" w:type="dxa"/>
            <w:shd w:val="clear" w:color="auto" w:fill="F9FBFD"/>
            <w:tcMar>
              <w:top w:w="80" w:type="dxa"/>
              <w:left w:w="100" w:type="dxa"/>
              <w:bottom w:w="80" w:type="dxa"/>
              <w:right w:w="100" w:type="dxa"/>
            </w:tcMar>
          </w:tcPr>
          <w:p w14:paraId="4585173C" w14:textId="2412005D" w:rsidR="00CF0B61" w:rsidRPr="00137CEF" w:rsidRDefault="00137CEF">
            <w:pPr>
              <w:jc w:val="center"/>
              <w:rPr>
                <w:color w:val="auto"/>
              </w:rPr>
            </w:pPr>
            <w:r w:rsidRPr="00137CEF">
              <w:rPr>
                <w:color w:val="auto"/>
                <w:sz w:val="19"/>
              </w:rPr>
              <w:t>-4.047</w:t>
            </w:r>
          </w:p>
        </w:tc>
        <w:tc>
          <w:tcPr>
            <w:tcW w:w="2448" w:type="dxa"/>
            <w:shd w:val="clear" w:color="auto" w:fill="F9FBFD"/>
            <w:tcMar>
              <w:top w:w="80" w:type="dxa"/>
              <w:left w:w="100" w:type="dxa"/>
              <w:bottom w:w="80" w:type="dxa"/>
              <w:right w:w="100" w:type="dxa"/>
            </w:tcMar>
          </w:tcPr>
          <w:p w14:paraId="1DD92E71" w14:textId="261D6A17" w:rsidR="00CF0B61" w:rsidRPr="00137CEF" w:rsidRDefault="00137CEF">
            <w:pPr>
              <w:jc w:val="center"/>
              <w:rPr>
                <w:color w:val="auto"/>
              </w:rPr>
            </w:pPr>
            <w:r w:rsidRPr="00137CEF">
              <w:rPr>
                <w:color w:val="auto"/>
                <w:sz w:val="19"/>
              </w:rPr>
              <w:t>5.585</w:t>
            </w:r>
          </w:p>
        </w:tc>
        <w:tc>
          <w:tcPr>
            <w:tcW w:w="2592" w:type="dxa"/>
            <w:shd w:val="clear" w:color="auto" w:fill="F9FBFD"/>
            <w:tcMar>
              <w:top w:w="80" w:type="dxa"/>
              <w:left w:w="100" w:type="dxa"/>
              <w:bottom w:w="80" w:type="dxa"/>
              <w:right w:w="100" w:type="dxa"/>
            </w:tcMar>
          </w:tcPr>
          <w:p w14:paraId="2FD77021" w14:textId="68F0D6B4" w:rsidR="00CF0B61" w:rsidRPr="00137CEF" w:rsidRDefault="00137CEF">
            <w:pPr>
              <w:jc w:val="center"/>
              <w:rPr>
                <w:color w:val="auto"/>
              </w:rPr>
            </w:pPr>
            <w:r w:rsidRPr="00137CEF">
              <w:rPr>
                <w:color w:val="auto"/>
                <w:sz w:val="19"/>
              </w:rPr>
              <w:t>7.458</w:t>
            </w:r>
          </w:p>
        </w:tc>
      </w:tr>
      <w:tr w:rsidR="00CF0B61" w14:paraId="5473CE28" w14:textId="77777777">
        <w:trPr>
          <w:jc w:val="center"/>
        </w:trPr>
        <w:tc>
          <w:tcPr>
            <w:tcW w:w="1728" w:type="dxa"/>
            <w:shd w:val="clear" w:color="auto" w:fill="FFFFFF"/>
            <w:tcMar>
              <w:top w:w="80" w:type="dxa"/>
              <w:left w:w="100" w:type="dxa"/>
              <w:bottom w:w="80" w:type="dxa"/>
              <w:right w:w="100" w:type="dxa"/>
            </w:tcMar>
          </w:tcPr>
          <w:p w14:paraId="42A2056E" w14:textId="77777777" w:rsidR="00CF0B61" w:rsidRDefault="00000000">
            <w:pPr>
              <w:jc w:val="center"/>
            </w:pPr>
            <w:r>
              <w:rPr>
                <w:sz w:val="19"/>
              </w:rPr>
              <w:t>6</w:t>
            </w:r>
          </w:p>
        </w:tc>
        <w:tc>
          <w:tcPr>
            <w:tcW w:w="2592" w:type="dxa"/>
            <w:shd w:val="clear" w:color="auto" w:fill="FFFFFF"/>
            <w:tcMar>
              <w:top w:w="80" w:type="dxa"/>
              <w:left w:w="100" w:type="dxa"/>
              <w:bottom w:w="80" w:type="dxa"/>
              <w:right w:w="100" w:type="dxa"/>
            </w:tcMar>
          </w:tcPr>
          <w:p w14:paraId="5CB71E1B" w14:textId="2AFABE06" w:rsidR="00CF0B61" w:rsidRPr="00137CEF" w:rsidRDefault="00000000">
            <w:pPr>
              <w:jc w:val="center"/>
              <w:rPr>
                <w:color w:val="auto"/>
              </w:rPr>
            </w:pPr>
            <w:r w:rsidRPr="00137CEF">
              <w:rPr>
                <w:color w:val="auto"/>
                <w:sz w:val="19"/>
              </w:rPr>
              <w:t>-</w:t>
            </w:r>
            <w:r w:rsidR="00137CEF" w:rsidRPr="00137CEF">
              <w:rPr>
                <w:color w:val="auto"/>
                <w:sz w:val="19"/>
              </w:rPr>
              <w:t>4.03</w:t>
            </w:r>
          </w:p>
        </w:tc>
        <w:tc>
          <w:tcPr>
            <w:tcW w:w="2448" w:type="dxa"/>
            <w:shd w:val="clear" w:color="auto" w:fill="FFFFFF"/>
            <w:tcMar>
              <w:top w:w="80" w:type="dxa"/>
              <w:left w:w="100" w:type="dxa"/>
              <w:bottom w:w="80" w:type="dxa"/>
              <w:right w:w="100" w:type="dxa"/>
            </w:tcMar>
          </w:tcPr>
          <w:p w14:paraId="780AE725" w14:textId="7A6A0186" w:rsidR="00CF0B61" w:rsidRPr="00137CEF" w:rsidRDefault="00137CEF">
            <w:pPr>
              <w:jc w:val="center"/>
              <w:rPr>
                <w:color w:val="auto"/>
              </w:rPr>
            </w:pPr>
            <w:r w:rsidRPr="00137CEF">
              <w:rPr>
                <w:color w:val="auto"/>
                <w:sz w:val="19"/>
              </w:rPr>
              <w:t>6.479</w:t>
            </w:r>
          </w:p>
        </w:tc>
        <w:tc>
          <w:tcPr>
            <w:tcW w:w="2592" w:type="dxa"/>
            <w:shd w:val="clear" w:color="auto" w:fill="FFFFFF"/>
            <w:tcMar>
              <w:top w:w="80" w:type="dxa"/>
              <w:left w:w="100" w:type="dxa"/>
              <w:bottom w:w="80" w:type="dxa"/>
              <w:right w:w="100" w:type="dxa"/>
            </w:tcMar>
          </w:tcPr>
          <w:p w14:paraId="55526183" w14:textId="37EAF05C" w:rsidR="00CF0B61" w:rsidRPr="00137CEF" w:rsidRDefault="00137CEF">
            <w:pPr>
              <w:jc w:val="center"/>
              <w:rPr>
                <w:color w:val="auto"/>
              </w:rPr>
            </w:pPr>
            <w:r w:rsidRPr="00137CEF">
              <w:rPr>
                <w:color w:val="auto"/>
                <w:sz w:val="19"/>
              </w:rPr>
              <w:t>8.338</w:t>
            </w:r>
          </w:p>
        </w:tc>
      </w:tr>
      <w:tr w:rsidR="00CF0B61" w14:paraId="42D0AF99" w14:textId="77777777">
        <w:trPr>
          <w:jc w:val="center"/>
        </w:trPr>
        <w:tc>
          <w:tcPr>
            <w:tcW w:w="1728" w:type="dxa"/>
            <w:shd w:val="clear" w:color="auto" w:fill="F9FBFD"/>
            <w:tcMar>
              <w:top w:w="80" w:type="dxa"/>
              <w:left w:w="100" w:type="dxa"/>
              <w:bottom w:w="80" w:type="dxa"/>
              <w:right w:w="100" w:type="dxa"/>
            </w:tcMar>
          </w:tcPr>
          <w:p w14:paraId="79B8C020" w14:textId="77777777" w:rsidR="00CF0B61" w:rsidRDefault="00000000">
            <w:pPr>
              <w:jc w:val="center"/>
            </w:pPr>
            <w:r>
              <w:rPr>
                <w:sz w:val="19"/>
              </w:rPr>
              <w:t>7</w:t>
            </w:r>
          </w:p>
        </w:tc>
        <w:tc>
          <w:tcPr>
            <w:tcW w:w="2592" w:type="dxa"/>
            <w:shd w:val="clear" w:color="auto" w:fill="F9FBFD"/>
            <w:tcMar>
              <w:top w:w="80" w:type="dxa"/>
              <w:left w:w="100" w:type="dxa"/>
              <w:bottom w:w="80" w:type="dxa"/>
              <w:right w:w="100" w:type="dxa"/>
            </w:tcMar>
          </w:tcPr>
          <w:p w14:paraId="3FAF8589" w14:textId="65801959" w:rsidR="00CF0B61" w:rsidRPr="00137CEF" w:rsidRDefault="00000000">
            <w:pPr>
              <w:jc w:val="center"/>
              <w:rPr>
                <w:color w:val="auto"/>
              </w:rPr>
            </w:pPr>
            <w:r w:rsidRPr="00137CEF">
              <w:rPr>
                <w:color w:val="auto"/>
                <w:sz w:val="19"/>
              </w:rPr>
              <w:t>-</w:t>
            </w:r>
            <w:r w:rsidR="00137CEF" w:rsidRPr="00137CEF">
              <w:rPr>
                <w:color w:val="auto"/>
                <w:sz w:val="19"/>
              </w:rPr>
              <w:t>4.015</w:t>
            </w:r>
          </w:p>
        </w:tc>
        <w:tc>
          <w:tcPr>
            <w:tcW w:w="2448" w:type="dxa"/>
            <w:shd w:val="clear" w:color="auto" w:fill="F9FBFD"/>
            <w:tcMar>
              <w:top w:w="80" w:type="dxa"/>
              <w:left w:w="100" w:type="dxa"/>
              <w:bottom w:w="80" w:type="dxa"/>
              <w:right w:w="100" w:type="dxa"/>
            </w:tcMar>
          </w:tcPr>
          <w:p w14:paraId="4BA2A0A0" w14:textId="63CDFAE9" w:rsidR="00CF0B61" w:rsidRPr="00137CEF" w:rsidRDefault="00137CEF">
            <w:pPr>
              <w:jc w:val="center"/>
              <w:rPr>
                <w:color w:val="auto"/>
              </w:rPr>
            </w:pPr>
            <w:r w:rsidRPr="00137CEF">
              <w:rPr>
                <w:color w:val="auto"/>
                <w:sz w:val="19"/>
              </w:rPr>
              <w:t>4.313</w:t>
            </w:r>
          </w:p>
        </w:tc>
        <w:tc>
          <w:tcPr>
            <w:tcW w:w="2592" w:type="dxa"/>
            <w:shd w:val="clear" w:color="auto" w:fill="F9FBFD"/>
            <w:tcMar>
              <w:top w:w="80" w:type="dxa"/>
              <w:left w:w="100" w:type="dxa"/>
              <w:bottom w:w="80" w:type="dxa"/>
              <w:right w:w="100" w:type="dxa"/>
            </w:tcMar>
          </w:tcPr>
          <w:p w14:paraId="38F8FB62" w14:textId="39152250" w:rsidR="00CF0B61" w:rsidRPr="00137CEF" w:rsidRDefault="00137CEF">
            <w:pPr>
              <w:jc w:val="center"/>
              <w:rPr>
                <w:color w:val="auto"/>
              </w:rPr>
            </w:pPr>
            <w:r w:rsidRPr="00137CEF">
              <w:rPr>
                <w:color w:val="auto"/>
                <w:sz w:val="19"/>
              </w:rPr>
              <w:t>10.77</w:t>
            </w:r>
          </w:p>
        </w:tc>
      </w:tr>
      <w:tr w:rsidR="00CF0B61" w14:paraId="2EB4DAA9" w14:textId="77777777">
        <w:trPr>
          <w:jc w:val="center"/>
        </w:trPr>
        <w:tc>
          <w:tcPr>
            <w:tcW w:w="1728" w:type="dxa"/>
            <w:shd w:val="clear" w:color="auto" w:fill="FFFFFF"/>
            <w:tcMar>
              <w:top w:w="80" w:type="dxa"/>
              <w:left w:w="100" w:type="dxa"/>
              <w:bottom w:w="80" w:type="dxa"/>
              <w:right w:w="100" w:type="dxa"/>
            </w:tcMar>
          </w:tcPr>
          <w:p w14:paraId="5AED67FB" w14:textId="77777777" w:rsidR="00CF0B61" w:rsidRDefault="00000000">
            <w:pPr>
              <w:jc w:val="center"/>
            </w:pPr>
            <w:r>
              <w:rPr>
                <w:sz w:val="19"/>
              </w:rPr>
              <w:t>8</w:t>
            </w:r>
          </w:p>
        </w:tc>
        <w:tc>
          <w:tcPr>
            <w:tcW w:w="2592" w:type="dxa"/>
            <w:shd w:val="clear" w:color="auto" w:fill="FFFFFF"/>
            <w:tcMar>
              <w:top w:w="80" w:type="dxa"/>
              <w:left w:w="100" w:type="dxa"/>
              <w:bottom w:w="80" w:type="dxa"/>
              <w:right w:w="100" w:type="dxa"/>
            </w:tcMar>
          </w:tcPr>
          <w:p w14:paraId="60BAFB7F" w14:textId="369EBDED" w:rsidR="00CF0B61" w:rsidRPr="00137CEF" w:rsidRDefault="00000000">
            <w:pPr>
              <w:jc w:val="center"/>
              <w:rPr>
                <w:color w:val="auto"/>
              </w:rPr>
            </w:pPr>
            <w:r w:rsidRPr="00137CEF">
              <w:rPr>
                <w:color w:val="auto"/>
                <w:sz w:val="19"/>
              </w:rPr>
              <w:t>-</w:t>
            </w:r>
            <w:r w:rsidR="00137CEF" w:rsidRPr="00137CEF">
              <w:rPr>
                <w:color w:val="auto"/>
                <w:sz w:val="19"/>
              </w:rPr>
              <w:t>3.881</w:t>
            </w:r>
          </w:p>
        </w:tc>
        <w:tc>
          <w:tcPr>
            <w:tcW w:w="2448" w:type="dxa"/>
            <w:shd w:val="clear" w:color="auto" w:fill="FFFFFF"/>
            <w:tcMar>
              <w:top w:w="80" w:type="dxa"/>
              <w:left w:w="100" w:type="dxa"/>
              <w:bottom w:w="80" w:type="dxa"/>
              <w:right w:w="100" w:type="dxa"/>
            </w:tcMar>
          </w:tcPr>
          <w:p w14:paraId="004F25E3" w14:textId="0949D37C" w:rsidR="00CF0B61" w:rsidRPr="00137CEF" w:rsidRDefault="00137CEF">
            <w:pPr>
              <w:jc w:val="center"/>
              <w:rPr>
                <w:color w:val="auto"/>
              </w:rPr>
            </w:pPr>
            <w:r w:rsidRPr="00137CEF">
              <w:rPr>
                <w:color w:val="auto"/>
                <w:sz w:val="19"/>
              </w:rPr>
              <w:t>3.991</w:t>
            </w:r>
          </w:p>
        </w:tc>
        <w:tc>
          <w:tcPr>
            <w:tcW w:w="2592" w:type="dxa"/>
            <w:shd w:val="clear" w:color="auto" w:fill="FFFFFF"/>
            <w:tcMar>
              <w:top w:w="80" w:type="dxa"/>
              <w:left w:w="100" w:type="dxa"/>
              <w:bottom w:w="80" w:type="dxa"/>
              <w:right w:w="100" w:type="dxa"/>
            </w:tcMar>
          </w:tcPr>
          <w:p w14:paraId="776D1468" w14:textId="49BF32D8" w:rsidR="00CF0B61" w:rsidRPr="00137CEF" w:rsidRDefault="00137CEF">
            <w:pPr>
              <w:jc w:val="center"/>
              <w:rPr>
                <w:color w:val="auto"/>
              </w:rPr>
            </w:pPr>
            <w:r w:rsidRPr="00137CEF">
              <w:rPr>
                <w:color w:val="auto"/>
                <w:sz w:val="19"/>
              </w:rPr>
              <w:t>10.14</w:t>
            </w:r>
          </w:p>
        </w:tc>
      </w:tr>
      <w:tr w:rsidR="00CF0B61" w14:paraId="70F067F5" w14:textId="77777777">
        <w:trPr>
          <w:jc w:val="center"/>
        </w:trPr>
        <w:tc>
          <w:tcPr>
            <w:tcW w:w="1728" w:type="dxa"/>
            <w:shd w:val="clear" w:color="auto" w:fill="F9FBFD"/>
            <w:tcMar>
              <w:top w:w="80" w:type="dxa"/>
              <w:left w:w="100" w:type="dxa"/>
              <w:bottom w:w="80" w:type="dxa"/>
              <w:right w:w="100" w:type="dxa"/>
            </w:tcMar>
          </w:tcPr>
          <w:p w14:paraId="6B355770" w14:textId="77777777" w:rsidR="00CF0B61" w:rsidRDefault="00000000">
            <w:pPr>
              <w:jc w:val="center"/>
            </w:pPr>
            <w:r>
              <w:rPr>
                <w:sz w:val="19"/>
              </w:rPr>
              <w:t>9</w:t>
            </w:r>
          </w:p>
        </w:tc>
        <w:tc>
          <w:tcPr>
            <w:tcW w:w="2592" w:type="dxa"/>
            <w:shd w:val="clear" w:color="auto" w:fill="F9FBFD"/>
            <w:tcMar>
              <w:top w:w="80" w:type="dxa"/>
              <w:left w:w="100" w:type="dxa"/>
              <w:bottom w:w="80" w:type="dxa"/>
              <w:right w:w="100" w:type="dxa"/>
            </w:tcMar>
          </w:tcPr>
          <w:p w14:paraId="78685FEA" w14:textId="5418C872" w:rsidR="00CF0B61" w:rsidRPr="00137CEF" w:rsidRDefault="00000000">
            <w:pPr>
              <w:jc w:val="center"/>
              <w:rPr>
                <w:color w:val="auto"/>
              </w:rPr>
            </w:pPr>
            <w:r w:rsidRPr="00137CEF">
              <w:rPr>
                <w:color w:val="auto"/>
                <w:sz w:val="19"/>
              </w:rPr>
              <w:t>-</w:t>
            </w:r>
            <w:r w:rsidR="00137CEF" w:rsidRPr="00137CEF">
              <w:rPr>
                <w:color w:val="auto"/>
                <w:sz w:val="19"/>
              </w:rPr>
              <w:t>3.838</w:t>
            </w:r>
          </w:p>
        </w:tc>
        <w:tc>
          <w:tcPr>
            <w:tcW w:w="2448" w:type="dxa"/>
            <w:shd w:val="clear" w:color="auto" w:fill="F9FBFD"/>
            <w:tcMar>
              <w:top w:w="80" w:type="dxa"/>
              <w:left w:w="100" w:type="dxa"/>
              <w:bottom w:w="80" w:type="dxa"/>
              <w:right w:w="100" w:type="dxa"/>
            </w:tcMar>
          </w:tcPr>
          <w:p w14:paraId="57349A81" w14:textId="6A8573ED" w:rsidR="00CF0B61" w:rsidRPr="00137CEF" w:rsidRDefault="00137CEF">
            <w:pPr>
              <w:jc w:val="center"/>
              <w:rPr>
                <w:color w:val="auto"/>
              </w:rPr>
            </w:pPr>
            <w:r w:rsidRPr="00137CEF">
              <w:rPr>
                <w:color w:val="auto"/>
                <w:sz w:val="19"/>
              </w:rPr>
              <w:t>6.802</w:t>
            </w:r>
          </w:p>
        </w:tc>
        <w:tc>
          <w:tcPr>
            <w:tcW w:w="2592" w:type="dxa"/>
            <w:shd w:val="clear" w:color="auto" w:fill="F9FBFD"/>
            <w:tcMar>
              <w:top w:w="80" w:type="dxa"/>
              <w:left w:w="100" w:type="dxa"/>
              <w:bottom w:w="80" w:type="dxa"/>
              <w:right w:w="100" w:type="dxa"/>
            </w:tcMar>
          </w:tcPr>
          <w:p w14:paraId="18182281" w14:textId="22CC215D" w:rsidR="00CF0B61" w:rsidRPr="00137CEF" w:rsidRDefault="00137CEF">
            <w:pPr>
              <w:jc w:val="center"/>
              <w:rPr>
                <w:color w:val="auto"/>
              </w:rPr>
            </w:pPr>
            <w:r w:rsidRPr="00137CEF">
              <w:rPr>
                <w:color w:val="auto"/>
                <w:sz w:val="19"/>
              </w:rPr>
              <w:t>8.36</w:t>
            </w:r>
          </w:p>
        </w:tc>
      </w:tr>
    </w:tbl>
    <w:p w14:paraId="06D552B2" w14:textId="4EBE4D34" w:rsidR="00A9685A" w:rsidRPr="00A9685A" w:rsidRDefault="00A9685A" w:rsidP="00A9685A">
      <w:pPr>
        <w:jc w:val="both"/>
        <w:rPr>
          <w:lang w:val="es-MX"/>
        </w:rPr>
      </w:pPr>
    </w:p>
    <w:p w14:paraId="57330D06" w14:textId="77777777" w:rsidR="00137CEF" w:rsidRDefault="00137CEF" w:rsidP="00137CEF">
      <w:pPr>
        <w:spacing w:before="80" w:after="80"/>
        <w:jc w:val="center"/>
      </w:pPr>
      <w:r>
        <w:rPr>
          <w:noProof/>
        </w:rPr>
        <w:drawing>
          <wp:inline distT="0" distB="0" distL="0" distR="0" wp14:anchorId="540F686D" wp14:editId="3C443BBC">
            <wp:extent cx="3614978" cy="2376000"/>
            <wp:effectExtent l="0" t="0" r="5080" b="0"/>
            <wp:docPr id="166184676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14978" cy="2376000"/>
                    </a:xfrm>
                    <a:prstGeom prst="rect">
                      <a:avLst/>
                    </a:prstGeom>
                    <a:noFill/>
                    <a:ln>
                      <a:noFill/>
                    </a:ln>
                  </pic:spPr>
                </pic:pic>
              </a:graphicData>
            </a:graphic>
          </wp:inline>
        </w:drawing>
      </w:r>
    </w:p>
    <w:p w14:paraId="2D7406BB" w14:textId="20B466D4" w:rsidR="00137CEF" w:rsidRPr="00137CEF" w:rsidRDefault="00137CEF" w:rsidP="00137CEF">
      <w:pPr>
        <w:jc w:val="center"/>
        <w:rPr>
          <w:i/>
          <w:sz w:val="18"/>
          <w:lang w:val="es-MX"/>
        </w:rPr>
      </w:pPr>
      <w:r w:rsidRPr="005239D4">
        <w:rPr>
          <w:i/>
          <w:sz w:val="18"/>
          <w:lang w:val="es-MX"/>
        </w:rPr>
        <w:t xml:space="preserve">Figura 2: Gráfico </w:t>
      </w:r>
      <w:r>
        <w:rPr>
          <w:i/>
          <w:sz w:val="18"/>
          <w:lang w:val="es-MX"/>
        </w:rPr>
        <w:t xml:space="preserve">ejemplo </w:t>
      </w:r>
      <w:r w:rsidRPr="005239D4">
        <w:rPr>
          <w:i/>
          <w:sz w:val="18"/>
          <w:lang w:val="es-MX"/>
        </w:rPr>
        <w:t>de energía de unión (kcal/mol) y validación RMSD (Å) en comparación con el umbral de 2.0 Å.</w:t>
      </w:r>
    </w:p>
    <w:p w14:paraId="2C4A78A6" w14:textId="77777777" w:rsidR="00575215" w:rsidRPr="005239D4" w:rsidRDefault="00575215" w:rsidP="00575215">
      <w:pPr>
        <w:spacing w:before="40" w:after="80"/>
        <w:rPr>
          <w:lang w:val="es-MX"/>
        </w:rPr>
      </w:pPr>
      <w:r>
        <w:rPr>
          <w:rFonts w:ascii="Apple Color Emoji" w:hAnsi="Apple Color Emoji" w:cs="Apple Color Emoji"/>
          <w:b/>
          <w:color w:val="003366"/>
          <w:sz w:val="20"/>
        </w:rPr>
        <w:t>📸</w:t>
      </w:r>
      <w:r w:rsidRPr="005239D4">
        <w:rPr>
          <w:b/>
          <w:color w:val="003366"/>
          <w:sz w:val="20"/>
          <w:lang w:val="es-MX"/>
        </w:rPr>
        <w:t xml:space="preserve"> EVIDENCIA / CAPTURA DE PANTALLA REQUERIDA: PyMOL - Superposición 3D (Alignment) entre la Pose Cristalina y la Pose de Docking (RMSD &lt; 2.0 Å)</w:t>
      </w:r>
      <w:r w:rsidRPr="005239D4">
        <w:rPr>
          <w:b/>
          <w:color w:val="003366"/>
          <w:sz w:val="20"/>
          <w:lang w:val="es-MX"/>
        </w:rPr>
        <w:br/>
      </w:r>
      <w:r w:rsidRPr="005239D4">
        <w:rPr>
          <w:i/>
          <w:sz w:val="19"/>
          <w:lang w:val="es-MX"/>
        </w:rPr>
        <w:t>Inserte aquí la captura de pantalla de PyMOL con la superposición del ligando nativo A1ECX (ej. en verde) y la pose predicha por Vina (ej. en cian), incluyendo la etiqueta con el valor numérico de RMSD en pantalla obtenido mediante el comando 'rms_cur'.</w:t>
      </w:r>
    </w:p>
    <w:p w14:paraId="428C1A83" w14:textId="7FD10137" w:rsidR="00575215" w:rsidRDefault="003F4DB3" w:rsidP="00575215">
      <w:pPr>
        <w:pStyle w:val="Ttulo1"/>
        <w:spacing w:before="240" w:after="120"/>
        <w:jc w:val="center"/>
        <w:rPr>
          <w:lang w:val="es-MX"/>
        </w:rPr>
      </w:pPr>
      <w:r w:rsidRPr="003F4DB3">
        <w:rPr>
          <w:lang w:val="es-MX"/>
        </w:rPr>
        <w:lastRenderedPageBreak/>
        <w:drawing>
          <wp:inline distT="0" distB="0" distL="0" distR="0" wp14:anchorId="10289677" wp14:editId="3ED8DBA2">
            <wp:extent cx="5943600" cy="3879850"/>
            <wp:effectExtent l="0" t="0" r="0" b="6350"/>
            <wp:docPr id="15887821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82145" name=""/>
                    <pic:cNvPicPr/>
                  </pic:nvPicPr>
                  <pic:blipFill>
                    <a:blip r:embed="rId22"/>
                    <a:stretch>
                      <a:fillRect/>
                    </a:stretch>
                  </pic:blipFill>
                  <pic:spPr>
                    <a:xfrm>
                      <a:off x="0" y="0"/>
                      <a:ext cx="5943600" cy="3879850"/>
                    </a:xfrm>
                    <a:prstGeom prst="rect">
                      <a:avLst/>
                    </a:prstGeom>
                  </pic:spPr>
                </pic:pic>
              </a:graphicData>
            </a:graphic>
          </wp:inline>
        </w:drawing>
      </w:r>
    </w:p>
    <w:p w14:paraId="1AC56D93" w14:textId="564F7D70" w:rsidR="00CF0B61" w:rsidRPr="005239D4" w:rsidRDefault="00000000">
      <w:pPr>
        <w:pStyle w:val="Ttulo1"/>
        <w:spacing w:before="240" w:after="120"/>
        <w:rPr>
          <w:lang w:val="es-MX"/>
        </w:rPr>
      </w:pPr>
      <w:r w:rsidRPr="005239D4">
        <w:rPr>
          <w:lang w:val="es-MX"/>
        </w:rPr>
        <w:t>6. Discusión de Resultados e Interacciones Moleculares</w:t>
      </w:r>
    </w:p>
    <w:p w14:paraId="23096856" w14:textId="06AFB5A6" w:rsidR="00CF0B61" w:rsidRPr="005239D4" w:rsidRDefault="00000000" w:rsidP="003F4DB3">
      <w:pPr>
        <w:spacing w:after="160"/>
        <w:rPr>
          <w:lang w:val="es-MX"/>
        </w:rPr>
      </w:pPr>
      <w:r w:rsidRPr="005239D4">
        <w:rPr>
          <w:lang w:val="es-MX"/>
        </w:rPr>
        <w:t>El valor del RMSD obtenido para el modo top-1 (</w:t>
      </w:r>
      <w:r w:rsidR="003F4DB3">
        <w:rPr>
          <w:color w:val="FF0000"/>
          <w:lang w:val="es-MX"/>
        </w:rPr>
        <w:t>4.097</w:t>
      </w:r>
      <w:r w:rsidRPr="005239D4">
        <w:rPr>
          <w:color w:val="FF0000"/>
          <w:lang w:val="es-MX"/>
        </w:rPr>
        <w:t xml:space="preserve"> </w:t>
      </w:r>
      <w:r w:rsidRPr="005239D4">
        <w:rPr>
          <w:lang w:val="es-MX"/>
        </w:rPr>
        <w:t xml:space="preserve">Å) se encuentra sustancialmente por </w:t>
      </w:r>
      <w:r w:rsidR="003F4DB3">
        <w:rPr>
          <w:lang w:val="es-MX"/>
        </w:rPr>
        <w:t>encima</w:t>
      </w:r>
      <w:r w:rsidRPr="005239D4">
        <w:rPr>
          <w:lang w:val="es-MX"/>
        </w:rPr>
        <w:t xml:space="preserve"> del umbral estándar aceptado internacionalmente en modelado molecular (RMSD ≤ 2.0 Å) (Morris et al., 2009; Trott &amp; Olson, 2010). </w:t>
      </w:r>
      <w:r w:rsidR="003F4DB3" w:rsidRPr="003F4DB3">
        <w:rPr>
          <w:lang w:val="es-MX"/>
        </w:rPr>
        <w:t>Por lo tanto,</w:t>
      </w:r>
      <w:r w:rsidR="003F4DB3">
        <w:rPr>
          <w:lang w:val="es-MX"/>
        </w:rPr>
        <w:t xml:space="preserve"> </w:t>
      </w:r>
      <w:r w:rsidR="003F4DB3" w:rsidRPr="003F4DB3">
        <w:rPr>
          <w:lang w:val="es-MX"/>
        </w:rPr>
        <w:t>en las condiciones evaluadas, el protocolo no reproduce la conformación cristalográfica del ligando</w:t>
      </w:r>
      <w:r w:rsidR="003F4DB3">
        <w:rPr>
          <w:lang w:val="es-MX"/>
        </w:rPr>
        <w:t xml:space="preserve"> </w:t>
      </w:r>
      <w:r w:rsidR="003F4DB3" w:rsidRPr="003F4DB3">
        <w:rPr>
          <w:lang w:val="es-MX"/>
        </w:rPr>
        <w:t>A1ECX en el sitio de unión de eVP30 y no puede considerarse validado.</w:t>
      </w:r>
    </w:p>
    <w:p w14:paraId="3AF46D1B" w14:textId="77777777" w:rsidR="00CF0B61" w:rsidRPr="005239D4" w:rsidRDefault="00000000">
      <w:pPr>
        <w:spacing w:after="80"/>
        <w:rPr>
          <w:lang w:val="es-MX"/>
        </w:rPr>
      </w:pPr>
      <w:r w:rsidRPr="005239D4">
        <w:rPr>
          <w:lang w:val="es-MX"/>
        </w:rPr>
        <w:t>Al analizar la red de interacciones no covalentes en la pose de acoplamiento re-dockeada, se observan los siguientes contactos clave:</w:t>
      </w:r>
    </w:p>
    <w:p w14:paraId="4E0A71AF" w14:textId="77777777" w:rsidR="00CF0B61" w:rsidRPr="005239D4" w:rsidRDefault="00000000">
      <w:pPr>
        <w:pStyle w:val="Listaconvietas"/>
        <w:rPr>
          <w:lang w:val="es-MX"/>
        </w:rPr>
      </w:pPr>
      <w:r w:rsidRPr="005239D4">
        <w:rPr>
          <w:b/>
          <w:lang w:val="es-MX"/>
        </w:rPr>
        <w:t xml:space="preserve">Puentes de Hidrógeno: </w:t>
      </w:r>
      <w:r w:rsidRPr="005239D4">
        <w:rPr>
          <w:lang w:val="es-MX"/>
        </w:rPr>
        <w:t xml:space="preserve">El grupo carboxilo e hidroxilo del anillo benzoico del ácido ginkgólico forma enlaces de hidrógeno directos con los residuos </w:t>
      </w:r>
      <w:r w:rsidRPr="00D5678A">
        <w:rPr>
          <w:color w:val="FF0000"/>
          <w:lang w:val="es-MX"/>
        </w:rPr>
        <w:t>Thr249 y Lys252</w:t>
      </w:r>
      <w:r w:rsidRPr="005239D4">
        <w:rPr>
          <w:lang w:val="es-MX"/>
        </w:rPr>
        <w:t xml:space="preserve"> de eVP30, estabilizando la cabeza polar de la molécula.</w:t>
      </w:r>
    </w:p>
    <w:p w14:paraId="01B82E5B" w14:textId="77777777" w:rsidR="00CF0B61" w:rsidRPr="005239D4" w:rsidRDefault="00000000">
      <w:pPr>
        <w:pStyle w:val="Listaconvietas"/>
        <w:rPr>
          <w:lang w:val="es-MX"/>
        </w:rPr>
      </w:pPr>
      <w:r w:rsidRPr="005239D4">
        <w:rPr>
          <w:b/>
          <w:lang w:val="es-MX"/>
        </w:rPr>
        <w:t xml:space="preserve">Interacciones Hidrofóbicas y Pi-Alquilo: </w:t>
      </w:r>
      <w:r w:rsidRPr="005239D4">
        <w:rPr>
          <w:lang w:val="es-MX"/>
        </w:rPr>
        <w:t xml:space="preserve">La cadena lipídica alifática (tridecenil) se aloja en un canal hidrofóbico profundo delimitado por residuos apolares como </w:t>
      </w:r>
      <w:r w:rsidRPr="00D5678A">
        <w:rPr>
          <w:color w:val="FF0000"/>
          <w:lang w:val="es-MX"/>
        </w:rPr>
        <w:t>Trp230, Val234 y Leu241</w:t>
      </w:r>
      <w:r w:rsidRPr="005239D4">
        <w:rPr>
          <w:lang w:val="es-MX"/>
        </w:rPr>
        <w:t>.</w:t>
      </w:r>
    </w:p>
    <w:tbl>
      <w:tblPr>
        <w:tblW w:w="0" w:type="auto"/>
        <w:jc w:val="center"/>
        <w:tblLayout w:type="fixed"/>
        <w:tblLook w:val="04A0" w:firstRow="1" w:lastRow="0" w:firstColumn="1" w:lastColumn="0" w:noHBand="0" w:noVBand="1"/>
      </w:tblPr>
      <w:tblGrid>
        <w:gridCol w:w="9360"/>
      </w:tblGrid>
      <w:tr w:rsidR="00CF0B61" w:rsidRPr="009356E6" w14:paraId="7F9331C3" w14:textId="77777777">
        <w:trPr>
          <w:jc w:val="center"/>
        </w:trPr>
        <w:tc>
          <w:tcPr>
            <w:tcW w:w="9360" w:type="dxa"/>
            <w:tcBorders>
              <w:left w:val="single" w:sz="36" w:space="0" w:color="003366"/>
            </w:tcBorders>
            <w:shd w:val="clear" w:color="auto" w:fill="F0F4F8"/>
            <w:tcMar>
              <w:top w:w="140" w:type="dxa"/>
              <w:left w:w="200" w:type="dxa"/>
              <w:bottom w:w="140" w:type="dxa"/>
              <w:right w:w="200" w:type="dxa"/>
            </w:tcMar>
          </w:tcPr>
          <w:p w14:paraId="11D6FC21" w14:textId="77777777" w:rsidR="00CF0B61" w:rsidRPr="005239D4" w:rsidRDefault="00000000">
            <w:pPr>
              <w:spacing w:before="40" w:after="80"/>
              <w:rPr>
                <w:lang w:val="es-MX"/>
              </w:rPr>
            </w:pPr>
            <w:r>
              <w:rPr>
                <w:b/>
                <w:color w:val="003366"/>
                <w:sz w:val="20"/>
              </w:rPr>
              <w:t>📸</w:t>
            </w:r>
            <w:r w:rsidRPr="005239D4">
              <w:rPr>
                <w:b/>
                <w:color w:val="003366"/>
                <w:sz w:val="20"/>
                <w:lang w:val="es-MX"/>
              </w:rPr>
              <w:t xml:space="preserve"> EVIDENCIA / CAPTURA DE PANTALLA REQUERIDA: Diagrama de Interacciones 2D/3D (PLIP / Discovery Studio / PyMOL)</w:t>
            </w:r>
            <w:r w:rsidRPr="005239D4">
              <w:rPr>
                <w:b/>
                <w:color w:val="003366"/>
                <w:sz w:val="20"/>
                <w:lang w:val="es-MX"/>
              </w:rPr>
              <w:br/>
            </w:r>
            <w:r w:rsidRPr="005239D4">
              <w:rPr>
                <w:i/>
                <w:sz w:val="19"/>
                <w:lang w:val="es-MX"/>
              </w:rPr>
              <w:t>Inserte aquí el diagrama de interacciones 2D o 3D indicando las distancias de los puentes de hidrógeno (en Ångströms) y los contactos hidrofóbicos entre A1ECX y los residuos de VP30 (PDB 9JQK).</w:t>
            </w:r>
          </w:p>
        </w:tc>
      </w:tr>
    </w:tbl>
    <w:p w14:paraId="4CE90A63" w14:textId="77777777" w:rsidR="00CF0B61" w:rsidRPr="005239D4" w:rsidRDefault="00CF0B61">
      <w:pPr>
        <w:spacing w:after="120"/>
        <w:rPr>
          <w:lang w:val="es-MX"/>
        </w:rPr>
      </w:pPr>
    </w:p>
    <w:p w14:paraId="23405E3E" w14:textId="77777777" w:rsidR="00CF0B61" w:rsidRDefault="00000000">
      <w:pPr>
        <w:pStyle w:val="Ttulo1"/>
        <w:spacing w:before="240" w:after="120"/>
      </w:pPr>
      <w:r>
        <w:lastRenderedPageBreak/>
        <w:t xml:space="preserve">7. </w:t>
      </w:r>
      <w:proofErr w:type="spellStart"/>
      <w:r>
        <w:t>Conclusiones</w:t>
      </w:r>
      <w:proofErr w:type="spellEnd"/>
    </w:p>
    <w:p w14:paraId="05CF8101" w14:textId="77777777" w:rsidR="00CF0B61" w:rsidRDefault="00000000">
      <w:pPr>
        <w:pStyle w:val="Ttulo1"/>
        <w:spacing w:before="240" w:after="120"/>
      </w:pPr>
      <w:r>
        <w:t>8. Referencias Bibliográficas</w:t>
      </w:r>
    </w:p>
    <w:p w14:paraId="0494C53B" w14:textId="77777777" w:rsidR="00CF0B61" w:rsidRDefault="00000000">
      <w:pPr>
        <w:spacing w:after="80"/>
        <w:ind w:left="576" w:hanging="576"/>
      </w:pPr>
      <w:r>
        <w:rPr>
          <w:sz w:val="19"/>
        </w:rPr>
        <w:t>Morris, G. M., Huey, R., Lindstrom, W., Sanner, M. F., Belew, R. K., Goodsell, D. S., &amp; Olson, A. J. (2009). AutoDock4 and AutoDockTools4: Automated docking with selective receptor flexibility. Journal of Computational Chemistry, 30(16), 2785–2791.</w:t>
      </w:r>
    </w:p>
    <w:p w14:paraId="5A5F0EF2" w14:textId="77777777" w:rsidR="00CF0B61" w:rsidRDefault="00000000">
      <w:pPr>
        <w:spacing w:after="80"/>
        <w:ind w:left="576" w:hanging="576"/>
      </w:pPr>
      <w:r w:rsidRPr="005239D4">
        <w:rPr>
          <w:sz w:val="19"/>
          <w:lang w:val="es-MX"/>
        </w:rPr>
        <w:t xml:space="preserve">Peng, C., Wu, F., Ma, Y., Liu, G., Huang, Y., et al. </w:t>
      </w:r>
      <w:r>
        <w:rPr>
          <w:sz w:val="19"/>
        </w:rPr>
        <w:t>(2025). Ginkgolic acid inhibits Ebola virus transcription and replication by disrupting the interaction between nucleoprotein and VP30 protein. Antiviral Research, 106074. PMID: 39716669.</w:t>
      </w:r>
    </w:p>
    <w:p w14:paraId="0BCD41B1" w14:textId="77777777" w:rsidR="00CF0B61" w:rsidRDefault="00000000">
      <w:pPr>
        <w:spacing w:after="80"/>
        <w:ind w:left="576" w:hanging="576"/>
      </w:pPr>
      <w:r>
        <w:rPr>
          <w:sz w:val="19"/>
        </w:rPr>
        <w:t>Trott, O., &amp; Olson, A. J. (2010). AutoDock Vina: improving the speed and accuracy of docking with a new scoring function, efficient optimization, and multithreading. Journal of Computational Chemistry, 31(2), 455–461.</w:t>
      </w:r>
    </w:p>
    <w:sectPr w:rsidR="00CF0B61" w:rsidSect="00034616">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7AD717" w14:textId="77777777" w:rsidR="000215E0" w:rsidRDefault="000215E0">
      <w:pPr>
        <w:spacing w:after="0" w:line="240" w:lineRule="auto"/>
      </w:pPr>
      <w:r>
        <w:separator/>
      </w:r>
    </w:p>
  </w:endnote>
  <w:endnote w:type="continuationSeparator" w:id="0">
    <w:p w14:paraId="247B4F12" w14:textId="77777777" w:rsidR="000215E0" w:rsidRDefault="000215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B04CC0" w14:textId="77777777" w:rsidR="00CF0B61" w:rsidRPr="005239D4" w:rsidRDefault="00000000">
    <w:pPr>
      <w:pStyle w:val="Piedepgina"/>
      <w:jc w:val="center"/>
      <w:rPr>
        <w:lang w:val="es-MX"/>
      </w:rPr>
    </w:pPr>
    <w:r w:rsidRPr="005239D4">
      <w:rPr>
        <w:color w:val="808080"/>
        <w:sz w:val="17"/>
        <w:lang w:val="es-MX"/>
      </w:rPr>
      <w:t xml:space="preserve">Documento de Práctica de Doctorado — Bioinformática Estructural | Página </w:t>
    </w:r>
    <w:r>
      <w:fldChar w:fldCharType="begin"/>
    </w:r>
    <w:r w:rsidRPr="005239D4">
      <w:rPr>
        <w:lang w:val="es-MX"/>
      </w:rPr>
      <w:instrText>PAGE</w:instrText>
    </w:r>
    <w:r>
      <w:fldChar w:fldCharType="separate"/>
    </w:r>
    <w:r w:rsidR="005239D4" w:rsidRPr="005239D4">
      <w:rPr>
        <w:noProof/>
        <w:lang w:val="es-MX"/>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EDDA8F" w14:textId="77777777" w:rsidR="000215E0" w:rsidRDefault="000215E0">
      <w:pPr>
        <w:spacing w:after="0" w:line="240" w:lineRule="auto"/>
      </w:pPr>
      <w:r>
        <w:separator/>
      </w:r>
    </w:p>
  </w:footnote>
  <w:footnote w:type="continuationSeparator" w:id="0">
    <w:p w14:paraId="7A19C6AD" w14:textId="77777777" w:rsidR="000215E0" w:rsidRDefault="000215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727D0D" w14:textId="77777777" w:rsidR="00CF0B61" w:rsidRPr="005239D4" w:rsidRDefault="00000000">
    <w:pPr>
      <w:pStyle w:val="Encabezado"/>
      <w:jc w:val="right"/>
      <w:rPr>
        <w:lang w:val="es-MX"/>
      </w:rPr>
    </w:pPr>
    <w:r w:rsidRPr="005239D4">
      <w:rPr>
        <w:color w:val="808080"/>
        <w:sz w:val="17"/>
        <w:lang w:val="es-MX"/>
      </w:rPr>
      <w:t>Reporte de Laboratorio Avanzado: Redocking con AutoDock Vina (PDB 9JQK)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8E303EE2"/>
    <w:lvl w:ilvl="0">
      <w:start w:val="1"/>
      <w:numFmt w:val="bullet"/>
      <w:pStyle w:val="Listaconvietas"/>
      <w:lvlText w:val=""/>
      <w:lvlJc w:val="left"/>
      <w:pPr>
        <w:tabs>
          <w:tab w:val="num" w:pos="360"/>
        </w:tabs>
        <w:ind w:left="360" w:hanging="360"/>
      </w:pPr>
      <w:rPr>
        <w:rFonts w:ascii="Symbol" w:hAnsi="Symbol" w:hint="default"/>
      </w:rPr>
    </w:lvl>
  </w:abstractNum>
  <w:num w:numId="1" w16cid:durableId="104078986">
    <w:abstractNumId w:val="8"/>
  </w:num>
  <w:num w:numId="2" w16cid:durableId="730857534">
    <w:abstractNumId w:val="6"/>
  </w:num>
  <w:num w:numId="3" w16cid:durableId="786050418">
    <w:abstractNumId w:val="5"/>
  </w:num>
  <w:num w:numId="4" w16cid:durableId="1215969885">
    <w:abstractNumId w:val="4"/>
  </w:num>
  <w:num w:numId="5" w16cid:durableId="1230383624">
    <w:abstractNumId w:val="7"/>
  </w:num>
  <w:num w:numId="6" w16cid:durableId="363334905">
    <w:abstractNumId w:val="3"/>
  </w:num>
  <w:num w:numId="7" w16cid:durableId="503397475">
    <w:abstractNumId w:val="2"/>
  </w:num>
  <w:num w:numId="8" w16cid:durableId="213932922">
    <w:abstractNumId w:val="1"/>
  </w:num>
  <w:num w:numId="9" w16cid:durableId="19320033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5E0"/>
    <w:rsid w:val="00034616"/>
    <w:rsid w:val="0006063C"/>
    <w:rsid w:val="00092830"/>
    <w:rsid w:val="00137CEF"/>
    <w:rsid w:val="0015074B"/>
    <w:rsid w:val="0029639D"/>
    <w:rsid w:val="00326F90"/>
    <w:rsid w:val="003A247D"/>
    <w:rsid w:val="003B7F7A"/>
    <w:rsid w:val="003F4DB3"/>
    <w:rsid w:val="00407BAD"/>
    <w:rsid w:val="0048046B"/>
    <w:rsid w:val="005239D4"/>
    <w:rsid w:val="00575215"/>
    <w:rsid w:val="005C19C3"/>
    <w:rsid w:val="005C25F0"/>
    <w:rsid w:val="00637326"/>
    <w:rsid w:val="006E3288"/>
    <w:rsid w:val="00783E35"/>
    <w:rsid w:val="009356E6"/>
    <w:rsid w:val="009F3165"/>
    <w:rsid w:val="00A9685A"/>
    <w:rsid w:val="00AA1D8D"/>
    <w:rsid w:val="00B47730"/>
    <w:rsid w:val="00B73045"/>
    <w:rsid w:val="00CB0664"/>
    <w:rsid w:val="00CF0B61"/>
    <w:rsid w:val="00D035FD"/>
    <w:rsid w:val="00D5678A"/>
    <w:rsid w:val="00E229E8"/>
    <w:rsid w:val="00E718EA"/>
    <w:rsid w:val="00FC693F"/>
    <w:rsid w:val="00FF3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2FAA4"/>
  <w14:defaultImageDpi w14:val="300"/>
  <w15:docId w15:val="{1AF18C14-F342-47F7-8076-F1B6262E8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682B4"/>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9685A"/>
    <w:rPr>
      <w:color w:val="0000FF" w:themeColor="hyperlink"/>
      <w:u w:val="single"/>
    </w:rPr>
  </w:style>
  <w:style w:type="character" w:styleId="Mencinsinresolver">
    <w:name w:val="Unresolved Mention"/>
    <w:basedOn w:val="Fuentedeprrafopredeter"/>
    <w:uiPriority w:val="99"/>
    <w:semiHidden/>
    <w:unhideWhenUsed/>
    <w:rsid w:val="00A9685A"/>
    <w:rPr>
      <w:color w:val="605E5C"/>
      <w:shd w:val="clear" w:color="auto" w:fill="E1DFDD"/>
    </w:rPr>
  </w:style>
  <w:style w:type="character" w:styleId="Hipervnculovisitado">
    <w:name w:val="FollowedHyperlink"/>
    <w:basedOn w:val="Fuentedeprrafopredeter"/>
    <w:uiPriority w:val="99"/>
    <w:semiHidden/>
    <w:unhideWhenUsed/>
    <w:rsid w:val="00A968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11</Pages>
  <Words>1732</Words>
  <Characters>9527</Characters>
  <Application>Microsoft Office Word</Application>
  <DocSecurity>0</DocSecurity>
  <Lines>79</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WALTER DONALDO MENDEZ ORDOÑEZ</cp:lastModifiedBy>
  <cp:revision>12</cp:revision>
  <dcterms:created xsi:type="dcterms:W3CDTF">2026-10-06T22:39:00Z</dcterms:created>
  <dcterms:modified xsi:type="dcterms:W3CDTF">2026-10-19T18:10:00Z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40c9ccc6ce00e4524fb77a997fb674d792b5223568c6942613f4bbe46992e4fd</vt:lpwstr>
  </property>
</Properties>
</file>