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</w:rPr>
        <w:t xml:space="preserve">编</w:t>
        <w:tab/>
        <w:t xml:space="preserve">号：</w:t>
      </w:r>
      <w:r>
        <w:rPr>
          <w:rFonts w:ascii="Times" w:hAnsi="Times" w:cs="Times"/>
          <w:sz w:val="22"/>
          <w:sz-cs w:val="22"/>
          <w:spacing w:val="-1"/>
        </w:rPr>
        <w:t xml:space="preserve"> 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  <w:spacing w:val="-8"/>
        </w:rPr>
        <w:t xml:space="preserve">版 本 号 ： 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  <w:spacing w:val="4"/>
        </w:rPr>
        <w:t xml:space="preserve">受控状态： 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</w:rPr>
        <w:t xml:space="preserve">密</w:t>
        <w:tab/>
        <w:t xml:space="preserve">级：</w:t>
      </w:r>
      <w:r>
        <w:rPr>
          <w:rFonts w:ascii="Times" w:hAnsi="Times" w:cs="Times"/>
          <w:sz w:val="22"/>
          <w:sz-cs w:val="22"/>
          <w:spacing w:val="48"/>
        </w:rPr>
        <w:t xml:space="preserve"> 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7"/>
          <w:sz-cs w:val="27"/>
        </w:rPr>
        <w:t xml:space="preserve"/>
      </w:r>
    </w:p>
    <w:p>
      <w:pPr>
        <w:ind w:left="210" w:right="128"/>
        <w:spacing w:before="120" w:after="120"/>
      </w:pPr>
      <w:r>
        <w:rPr>
          <w:rFonts w:ascii="Times" w:hAnsi="Times" w:cs="Times"/>
          <w:sz w:val="48"/>
          <w:sz-cs w:val="48"/>
          <w:b/>
        </w:rPr>
        <w:t xml:space="preserve">【组织名称】</w:t>
      </w:r>
    </w:p>
    <w:p>
      <w:pPr>
        <w:jc w:val="center"/>
        <w:ind w:left="210" w:right="128"/>
        <w:spacing w:before="120" w:after="120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ind w:left="210" w:right="128"/>
        <w:spacing w:before="120" w:after="120"/>
      </w:pPr>
      <w:r>
        <w:rPr>
          <w:rFonts w:ascii="Times" w:hAnsi="Times" w:cs="Times"/>
          <w:sz w:val="48"/>
          <w:sz-cs w:val="48"/>
          <w:b/>
        </w:rPr>
        <w:t xml:space="preserve">开源组件选型规范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>版权声明和保密须知</w:t>
      </w:r>
    </w:p>
    <w:p>
      <w:pPr>
        <w:jc w:val="both"/>
        <w:ind w:left="210" w:right="438"/>
        <w:spacing w:before="120" w:after="120"/>
      </w:pPr>
      <w:r>
        <w:rPr>
          <w:rFonts w:ascii="Times" w:hAnsi="Times" w:cs="Times"/>
          <w:sz w:val="18"/>
          <w:sz-cs w:val="18"/>
          <w:spacing w:val="-8"/>
        </w:rPr>
        <w:t xml:space="preserve">本文件中出现的任何文字叙述、文档格式、插图、照片、方法、过程等内容，除另有特别注明，版权均属【组织名称】所有，受到有关产权及版权法保护。任何单位和个人未经【组织名称】的书面授权许可，不得复</w:t>
      </w:r>
      <w:r>
        <w:rPr>
          <w:rFonts w:ascii="Times" w:hAnsi="Times" w:cs="Times"/>
          <w:sz w:val="18"/>
          <w:sz-cs w:val="18"/>
        </w:rPr>
        <w:t xml:space="preserve">制或引用本文件的任何片断，无论通过电子形式或非电子形式。</w:t>
      </w:r>
    </w:p>
    <w:p>
      <w:pPr>
        <w:jc w:val="both"/>
        <w:ind w:left="210"/>
        <w:spacing w:before="120" w:after="120"/>
      </w:pPr>
      <w:r>
        <w:rPr>
          <w:rFonts w:ascii="Arial" w:hAnsi="Arial" w:cs="Arial"/>
          <w:sz w:val="18"/>
          <w:sz-cs w:val="18"/>
          <w:b/>
        </w:rPr>
        <w:t xml:space="preserve">Copyright © 2022</w:t>
      </w:r>
      <w:r>
        <w:rPr>
          <w:rFonts w:ascii="Times" w:hAnsi="Times" w:cs="Times"/>
          <w:sz w:val="18"/>
          <w:sz-cs w:val="18"/>
          <w:b/>
        </w:rPr>
        <w:t xml:space="preserve">【组织名称】 版权所有</w:t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  <w:br w:type="page"/>
        <w:t xml:space="preserve"/>
      </w:r>
      <w:r>
        <w:rPr>
          <w:rFonts w:ascii="Times" w:hAnsi="Times" w:cs="Times"/>
          <w:sz w:val="28"/>
          <w:sz-cs w:val="28"/>
        </w:rPr>
        <w:t xml:space="preserve">文档信息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文档编号：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文档分类：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编写：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审核：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批准：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初次发布日期：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生效日期：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修订日期：</w:t>
      </w:r>
    </w:p>
    <w:p>
      <w:pPr>
        <w:ind w:left="210"/>
        <w:spacing w:before="120" w:after="120"/>
      </w:pPr>
      <w:r>
        <w:rPr>
          <w:rFonts w:ascii="Times" w:hAnsi="Times" w:cs="Times"/>
          <w:sz w:val="28"/>
          <w:sz-cs w:val="28"/>
        </w:rPr>
        <w:t xml:space="preserve">版本记录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版本号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版本日期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修改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审批人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修改履历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jc w:val="center"/>
        <w:ind w:left="210" w:right="13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  <w:br w:type="page"/>
        <w:t xml:space="preserve"/>
      </w:r>
      <w:r>
        <w:rPr>
          <w:rFonts w:ascii="Times" w:hAnsi="Times" w:cs="Times"/>
          <w:sz w:val="32"/>
          <w:sz-cs w:val="32"/>
        </w:rPr>
        <w:t xml:space="preserve">目 录</w:t>
      </w:r>
    </w:p>
    <w:p>
      <w:pPr>
        <w:jc w:val="center"/>
      </w:pPr>
      <w:r>
        <w:rPr>
          <w:rFonts w:ascii="Times" w:hAnsi="Times" w:cs="Times"/>
          <w:sz w:val="32"/>
          <w:sz-cs w:val="32"/>
        </w:rPr>
        <w:t xml:space="preserve"/>
        <w:br w:type="page"/>
        <w:t xml:space="preserve"/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TOC \o "1-3" \h \u 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"_Toc207808945"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1、总则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_Toc207808945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"_Toc207808946"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1.1目的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_Toc207808946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"_Toc207808947"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1.2适用范围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_Toc207808947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"_Toc207808948"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1.3核心原则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_Toc207808948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"_Toc207808949"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2、开源组件禁用基线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_Toc207808949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"_Toc207808950"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2.1许可证风险类禁用标准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_Toc207808950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"_Toc207808951"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2.2安全风险类禁用标准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_Toc207808951 \h 6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"_Toc207808952"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2.3维护失效类禁用标准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_Toc207808952 \h 6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"_Toc207808953"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2.4合规冲突类禁用标准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_Toc207808953 \h 7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"_Toc207808954"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2.5技术不兼容类禁用标准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_Toc207808954 \h 7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"_Toc207808955"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2.6禁用清单动态管理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_Toc207808955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"_Toc207808956"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3、合规开源组件选型标准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_Toc207808956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"_Toc207808957"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3.1合规性标准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_Toc207808957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"_Toc207808958"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3.2安全性标准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_Toc207808958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"_Toc207808959"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3.3技术适配性标准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_Toc207808959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"_Toc207808960"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3.4生态成熟度标准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_Toc207808960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"_Toc207808961"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3.5成本可控性标准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_Toc207808961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"_Toc207808962"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4、选型全流程管控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_Toc207808962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"_Toc207808963"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4.1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选型准备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_Toc207808963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"_Toc207808964"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4.2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选型申请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_Toc207808964 \h 10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"_Toc207808965"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4.3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多维度审核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_Toc207808965 \h 10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"_Toc207808966"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4.3.1初审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_Toc207808966 \h 10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"_Toc207808967"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4.3.2复审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_Toc207808967 \h 10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"_Toc207808968"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4.3.3终审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_Toc207808968 \h 10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"_Toc207808969"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4.4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选型确认与备案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_Toc207808969 \h 11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"_Toc207808970"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5、配套保障机制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_Toc207808970 \h 11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"_Toc207808971"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5.1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选型工具支持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_Toc207808971 \h 11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"_Toc207808972"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5.2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培训与宣贯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_Toc207808972 \h 11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"_Toc207808973"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5.3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审计与追责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_Toc207808973 \h 11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"_Toc207808974"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6、附录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_Toc207808974 \h 11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"_Toc207808975"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附录 1：开源许可证允许清单（优先级排序）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_Toc207808975 \h 12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"_Toc207808976"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附录 2：禁用开源组件清单（模板）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_Toc207808976 \h 12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83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  <w:br w:type="page"/>
        <w:t xml:space="preserve"/>
      </w:r>
      <w:r>
        <w:rPr>
          <w:rFonts w:ascii="Times" w:hAnsi="Times" w:cs="Times"/>
          <w:sz w:val="32"/>
          <w:sz-cs w:val="32"/>
          <w:b/>
        </w:rPr>
        <w:t xml:space="preserve">总则</w:t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1.1目的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为明确开源组件选型的具体标准与禁用边界，通过 “先排除禁用组件、再筛选合规安全组件” 的双层管控，防范许可证合规风险、安全漏洞风险及技术失效风险，确保选型结果符合企业业务需求与风险管控要求，特制定本规范。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1.2适用范围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本规范适用于企业所有技术团队（开发、测试、运维、架构组）在软件全生命周期（需求设计、开发编码、测试验证、上线运维）中涉及的开源组件选型，包括：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直接引用的开源框架（如 Dubbo、Vue）、工具（如 Nginx、Jmeter）；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间接依赖的第三方组件（如 PyPI 仓库的 Python 包、Docker Hub 的镜像）；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计划基于二次开发的开源项目。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1.3核心原则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禁用优先核查：选型第一步需确认组件是否在 “禁用清单” 内，禁用组件一律不得进入选型流程；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风险分级管控：按风险等级（高、中、低）划分组件选型审批权限，高风险组件需多层级审核；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标准量化落地：选型指标（如漏洞评分、维护频率）需量化，避免主观判断；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动态更新适配：禁用基线与选型标准需随开源生态变化（如许可证条款更新、新漏洞爆发）定期迭代。</w:t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2、开源组件禁用基线</w:t>
      </w:r>
    </w:p>
    <w:p>
      <w:pPr>
        <w:ind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禁用基线按 “风险类型” 划分为许可证风险类、安全风险类、维护失效类、合规冲突类、技术不兼容类五大类别，所有落入以下标准的开源组件，一律禁止选型使用。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2.1许可证风险类禁用标准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禁用类型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具体标准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示例组件 / 许可证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强传染性许可证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许可证要求 “衍生作品必须开源”“修改代码需公开”，导致企业商业代码被迫开源的组件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1. 许可证：GPL v3、AGPL v3、LGPL v3（仅禁止动态链接外的使用）；2. 组件：基于 GPL v3 协议的 GNU Emacs（二次开发需开源）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限制商业使用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许可证明确禁止 “商业场景使用”“盈利性业务应用” 的组件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1. 许可证：CC BY-NC-SA 4.0（非商业使用许可）；2. 组件：基于该许可的学术专用数据分析工具（如某高校开源的科研统计库）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知识产权纠纷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存在已知侵权诉讼、版权归属争议或专利纠纷的组件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1. 曾被起诉侵权的组件：如早期版本的 Redis（曾涉专利纠纷，已解决版本除外）；2. 版权归属不明确的组件：无官方维护主体的匿名开源项目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2.2安全风险类禁用标准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禁用类型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具体标准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示例场景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高危漏洞未修复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1. 存在 CVSS 评分≥9.0 的高危漏洞，且官方发布修复补丁后超过 7 天未修复；2. 存在 2 个及以上 CVSS 评分 7.0-8.9 的严重漏洞，且无修复计划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1. 某开源日志组件（版本 1.2.0）存在 SQL 注入漏洞（CVSS 9.8），发布补丁后 10 天仍未更新；2. 某加密组件存在 2 个缓冲区溢出漏洞（CVSS 8.5），官方无修复回应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漏洞修复滞后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近 1 年内爆发的高危 / 严重漏洞，官方修复周期超过 30 天的组件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某开源 ORM 框架（版本 2.0）2025 年 3 月爆发数据泄露漏洞，至 4 月仍未发布修复版本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恶意代码风险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被安全机构（如 OWASP、火绒安全）通报存在恶意代码（如后门、挖矿程序）的组件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某第三方镜像仓库中的开源 Redis 镜像，被检测含挖矿脚本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2.3维护失效类禁用标准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禁用类型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具体标准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示例组件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终止维护（EOL）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官方明确宣布 “终止维护”“不再提供安全补丁”，且无社区承接维护的组件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1. Python 2.7（2020 年 1 月 EOL）；2. Spring Boot 1.5.x（2021 年 8 月 EOL）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维护停滞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近 12 个月无版本更新、无漏洞修复、无社区 Issue 响应（超过 90 天未回复）的组件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某开源前端 UI 组件库（最后更新时间 2024 年 1 月，GitHub Issues 积压超 50 个未处理）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社区解散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官方维护团队解散、项目仓库（如 GitHub）归档（Archived）且无替代维护主体的组件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某开源分布式任务调度框架，2025 年 5 月 GitHub 仓库标记 “Archived”，维护团队解散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2.4合规冲突类禁用标准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禁用类型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具体标准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示例场景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违反行业法规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不符合企业所在行业合规要求（如金融行业的等保 2.0、数据安全法）的组件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1. 不支持数据加密传输（如仅 HTTP 协议）的金融交易相关组件；2. 无法满足 “数据留存 6 个月” 要求的日志组件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地域合规限制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来自受制裁国家 / 地区（如 OFAC 制裁清单）或存在数据出境风险的组件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某开源数据存储组件，服务器部署在受制裁地区，存在数据出境合规风险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隐私政策冲突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违反用户隐私保护要求（如未经授权收集用户数据）的组件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某开源埋点组件，默认收集用户设备信息且无法关闭，违反《个人信息保护法》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2.5技术不兼容类禁用标准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禁用类型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具体标准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示例场景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架构完全不兼容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与企业核心技术架构（如操作系统、中间件、编程语言主版本）完全无法适配的组件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1. 仅支持 Windows 系统的组件，无法适配企业 Linux 服务器架构；2. 仅支持 Java 8 的组件，无法适配企业 Java 17 主版本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性能无法达标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经测试，组件性能（并发、响应时间、资源占用）无法满足业务最低要求的组件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某开源 API 网关组件，测试环境并发量仅能达到业务峰值需求的 50%，且无法通过优化提升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依赖链风险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组件依赖的第三方库中，存在 2 个及以上 “禁用类组件” 的情况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某开源工具依赖的 2 个 Jar 包，分别属于 “EOL 组件” 和 “强传染性许可证组件”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2.6禁用清单动态管理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清单更新频率</w:t>
      </w:r>
      <w:r>
        <w:rPr>
          <w:rFonts w:ascii="Times" w:hAnsi="Times" w:cs="Times"/>
          <w:sz w:val="21"/>
          <w:sz-cs w:val="21"/>
        </w:rPr>
        <w:t xml:space="preserve">：技术管理部联合法务部、信息安全部每季度复审禁用清单，新增符合禁用标准的组件、移除已整改的组件（如漏洞修复、许可证更新）；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紧急更新机制</w:t>
      </w:r>
      <w:r>
        <w:rPr>
          <w:rFonts w:ascii="Times" w:hAnsi="Times" w:cs="Times"/>
          <w:sz w:val="21"/>
          <w:sz-cs w:val="21"/>
        </w:rPr>
        <w:t xml:space="preserve">：若爆发重大安全事件（如 Log4j2 漏洞级别的 0day 漏洞）或新法规出台，24 小时内更新禁用清单并通知所有技术团队；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清单发布渠道</w:t>
      </w:r>
      <w:r>
        <w:rPr>
          <w:rFonts w:ascii="Times" w:hAnsi="Times" w:cs="Times"/>
          <w:sz w:val="21"/>
          <w:sz-cs w:val="21"/>
        </w:rPr>
        <w:t xml:space="preserve">：禁用清单（含组件名称、版本、禁用原因、禁用日期）统一发布至企业开源组件管理平台，置顶展示并同步至各团队邮箱。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3、合规开源组件选型标准</w:t>
      </w:r>
    </w:p>
    <w:p>
      <w:pPr>
        <w:ind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在排除 “禁用组件” 后，需从</w:t>
      </w:r>
      <w:r>
        <w:rPr>
          <w:rFonts w:ascii="Times" w:hAnsi="Times" w:cs="Times"/>
          <w:sz w:val="21"/>
          <w:sz-cs w:val="21"/>
          <w:b/>
        </w:rPr>
        <w:t xml:space="preserve">合规性、安全性、技术适配性、生态成熟度、成本可控性</w:t>
      </w:r>
      <w:r>
        <w:rPr>
          <w:rFonts w:ascii="Times" w:hAnsi="Times" w:cs="Times"/>
          <w:sz w:val="21"/>
          <w:sz-cs w:val="21"/>
        </w:rPr>
        <w:t xml:space="preserve">五大维度评估选型，具体标准如下：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3.1合规性标准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许可证类型需在 “企业允许清单” 内（见附录 1），优先选择 MIT、Apache License 2.0、BSD 3-Clause 等弱限制许可证；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组件官方提供清晰的许可证文本，无模糊条款（如 “最终解释权归官方所有”）；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近 3 年内无知识产权相关诉讼记录，可通过 OSS Review Toolkit（ORT）工具核查合规性。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3.2安全性标准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近 6 个月内无高危（CVSS≥9.0）、严重（CVSS 7.0-8.9）漏洞，中危漏洞（CVSS 4.0-6.9）不超过 1 个且已修复；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维护团队安全响应及时（高危漏洞修复周期≤7 天，严重漏洞≤14 天）；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支持安全加固（如代码签名、漏洞扫描接口），可集成企业现有安全工具（如 Snyk、Nessus）。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3.3技术适配性标准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与企业现有技术栈兼容（如操作系统：CentOS 7+/Ubuntu 20.04+；编程语言：Java 11+/Python 3.8+）；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性能满足业务需求：并发量≥业务峰值的 1.2 倍，响应时间≤业务要求的 80%（如业务要求≤1s，组件测试≤0.8s）；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支持定制化扩展（如需二次开发，提供清晰的 API 文档与扩展接口）。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3.4生态成熟度标准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社区活跃度：GitHub 星数≥10k（核心组件）/≥5k（非核心组件），Issue 响应时间≤72 小时；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文档完整性：官方提供安装、配置、故障排查、API 调用的完整文档，且支持中文或英文（企业主流语言）；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案例覆盖度：有同行业（如金融、电商）大型企业使用案例，且无重大故障反馈。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3.5成本可控性标准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学习成本：组件易用性高，团队掌握核心功能的培训周期≤3 个工作日；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运维成本：支持企业现有运维工具（如 Prometheus 监控、ELK 日志分析），无需新增运维工具；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迁移成本：若未来替换，提供明确的数据迁移方案，迁移周期≤业务允许的停机窗口（如≤4 小时）。</w:t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4、选型全流程管控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选型准备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组件初筛：需求团队根据业务需求列出候选组件清单，通过 “企业开源组件管理平台” 核查是否在 “禁用清单” 内，剔除所有禁用组件；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信息收集：对非禁用组件，收集以下信息：</w:t>
      </w:r>
    </w:p>
    <w:p>
      <w:pPr>
        <w:ind w:left="283"/>
        <w:spacing w:before="120" w:after="120"/>
      </w:pPr>
      <w:r>
        <w:rPr>
          <w:rFonts w:ascii="Times" w:hAnsi="Times" w:cs="Times"/>
          <w:sz w:val="21"/>
          <w:sz-cs w:val="21"/>
        </w:rPr>
        <w:t xml:space="preserve">1.</w:t>
        <w:tab/>
        <w:t xml:space="preserve">基础信息：组件名称、版本、官方地址、维护团队；</w:t>
      </w:r>
    </w:p>
    <w:p>
      <w:pPr>
        <w:ind w:left="283"/>
        <w:spacing w:before="120" w:after="120"/>
      </w:pPr>
      <w:r>
        <w:rPr>
          <w:rFonts w:ascii="Times" w:hAnsi="Times" w:cs="Times"/>
          <w:sz w:val="21"/>
          <w:sz-cs w:val="21"/>
        </w:rPr>
        <w:t xml:space="preserve">2.</w:t>
        <w:tab/>
        <w:t xml:space="preserve">合规信息：许可证类型、知识产权证明；</w:t>
      </w:r>
    </w:p>
    <w:p>
      <w:pPr>
        <w:ind w:left="283"/>
        <w:spacing w:before="120" w:after="120"/>
      </w:pPr>
      <w:r>
        <w:rPr>
          <w:rFonts w:ascii="Times" w:hAnsi="Times" w:cs="Times"/>
          <w:sz w:val="21"/>
          <w:sz-cs w:val="21"/>
        </w:rPr>
        <w:t xml:space="preserve">3.</w:t>
        <w:tab/>
        <w:t xml:space="preserve">安全信息：近 1 年漏洞记录、修复情况；</w:t>
      </w:r>
    </w:p>
    <w:p>
      <w:pPr>
        <w:ind w:left="283"/>
        <w:spacing w:before="120" w:after="120"/>
      </w:pPr>
      <w:r>
        <w:rPr>
          <w:rFonts w:ascii="Times" w:hAnsi="Times" w:cs="Times"/>
          <w:sz w:val="21"/>
          <w:sz-cs w:val="21"/>
        </w:rPr>
        <w:t xml:space="preserve">4.</w:t>
        <w:tab/>
        <w:t xml:space="preserve">技术信息：兼容性报告、性能测试数据。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选型申请</w:t>
      </w:r>
    </w:p>
    <w:p>
      <w:pPr>
        <w:ind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需求团队填写《开源组件选型申请表》（见附录 2），需包含：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候选组件对比表（按 3.1-3.5 标准打分，满分 100 分，低于 80 分的组件需说明理由）；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禁用核查结果（明确 “未在禁用清单内” 及核查截图）；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业务必要性说明（如无替代自研方案、成本对比优势）；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风险评估报告（含潜在风险及应对措施）。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多维度审核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4.3.1初审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审核人：项目技术负责人；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审核重点：组件技术适配性、业务必要性，确认禁用核查无误；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审核周期：1 个工作日，出具《初审意见表》。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4.3.2复审</w:t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>审核团队：技术架构组（技术）、信息安全部（安全）、法务部（合规）；</w:t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>审核重点：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技术架构组：生态成熟度、性能达标情况；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信息安全部：漏洞扫描（使用 OWASP Dependency-Check 工具）、安全响应能力；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法务部：许可证合规性、知识产权风险；</w:t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>审核周期：3 个工作日，出具《复审评估报告》（含修改意见）。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4.3.3终审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核心组件（支撑交易、用户系统）：技术总监 + 法务总监联合审批；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非核心组件（工具类、测试组件）：技术架构组负责人审批；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审核重点：复审意见整改情况、整体风险可控性；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审核周期：核心组件 2 个工作日，非核心组件 1 个工作日。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选型确认与备案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终审通过后，需求团队获取《开源组件选型批准书》（见附录 3）；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将选型结果同步至 “企业开源组件管理平台” 备案，标注 “已批准选型” 状态；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备案信息需包含：申请表、评估报告、批准书、组件关键信息（版本、许可证），保存期限≥3 年。</w:t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5、配套保障机制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选型工具支持</w:t>
      </w:r>
    </w:p>
    <w:p>
      <w:pPr>
        <w:ind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企业部署 “开源组件选型辅助工具”，集成以下功能：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禁用清单自动核查（输入组件名称 / 版本，实时反馈是否禁用）；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漏洞自动扫描（对接 Snyk、NVD 漏洞库，生成漏洞报告）；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许可证合规分析（通过 ORT 工具自动识别许可证类型，判断是否在允许清单）；</w:t>
      </w:r>
    </w:p>
    <w:p>
      <w:pPr>
        <w:ind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工具权限：所有技术人员可查询，审核人员可操作审核流程。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培训与宣贯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新员工培训：将 “禁用基线”“选型标准” 纳入技术入职培训，考核通过方可参与选型；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定期宣贯：每季度组织 1 次选型规范培训，重点讲解禁用清单更新内容、典型违规案例（如使用禁用组件导致的合规风险）；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手册分发：编制《开源组件选型操作手册》，包含禁用基线解读、工具使用指南，同步至各团队。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审计与追责</w:t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>月度抽查：技术管理部每月抽查 5-8 个选型案例，核查是否违反禁用基线、是否按流程审批；</w:t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>季度审计：法务部、信息安全部联合审计选型合规性，重点核查许可证风险与安全风险；</w:t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>责任追究：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未核查禁用基线导致选用禁用组件：责令立即替换，扣减团队当月绩效 20%-30%；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隐瞒组件禁用信息虚假申请：追究直接责任人责任，通报批评并扣减当月绩效 50%；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因违规选型导致合规纠纷或安全事故：按企业《风险责任追究制度》严肃处理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6、附录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附录 1：开源许可证允许清单（优先级排序）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优先级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许可证类型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适用场景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核心要求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1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MIT License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通用组件（工具类、前端框架）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保留版权声明，允许商业使用、闭源衍生，无额外限制。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2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Apache License 2.0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核心业务组件（后端框架、中间件）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保留版权声明与许可证文本，禁止商标滥用，允许商业使用、闭源衍生。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3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BSD 3-Clause License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测试工具、非核心组件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保留版权声明，禁止使用作者名义推广衍生作品，允许商业使用、闭源衍生。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4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LGPL v2.1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依赖库（如基础算法库）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仅动态链接时允许闭源，静态链接需开源修改部分，需提供库文件。</w:t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附录 2：禁用开源组件清单（模板）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组件名称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版本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禁用类别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禁用原因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禁用日期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解除禁用条件（如有）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GNU Emacs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29.1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许可证风险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基于 GPL v3 协议，二次开发需开源，违反商业代码闭源要求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2025-01-10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无（协议不可逆）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Python 2.7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2.7.18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维护失效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2020 年 1 月 EOL，无安全补丁，存在大量未修复漏洞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2025-01-10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无（官方终止维护）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某日志组件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1.2.0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安全风险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存在 SQL 注入漏洞（CVSS 9.8），发布补丁后 10 天未修复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2025-08-05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升级至修复版本（1.2.1 及以上）并通过漏洞扫描</w:t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2"/>
          <w:sz-cs w:val="1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 PAGE </w:t>
      </w:r>
      <w:r>
        <w:rPr>
          <w:rFonts w:ascii="Times" w:hAnsi="Times" w:cs="Times"/>
          <w:sz w:val="21"/>
          <w:sz-cs w:val="21"/>
        </w:rPr>
        <w:t xml:space="preserve">1</w:t>
      </w: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34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第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共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页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 PAGE </w:t>
      </w:r>
      <w:r>
        <w:rPr>
          <w:rFonts w:ascii="Times" w:hAnsi="Times" w:cs="Times"/>
          <w:sz w:val="21"/>
          <w:sz-cs w:val="21"/>
        </w:rPr>
        <w:t xml:space="preserve">24</w:t>
      </w: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34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第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页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共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页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Manager>www.55top.com</Manager>
  <Company>德信诚培训网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www.55top.com</dc:title>
  <dc:subject>德信诚培训网</dc:subject>
  <dc:creator>www.55top.com;信息安全保密办公室</dc:creator>
  <cp:keywords/>
  <dc:description>德信诚培训网 www.55top.com</dc:description>
  <cp:lastModifiedBy>迈 张</cp:lastModifiedBy>
  <dcterms:created>2025-09-01T15:55:00Z</dcterms:created>
  <dcterms:modified>2025-09-01T15:55:00Z</dcterms:modified>
</cp:coreProperties>
</file>

<file path=docProps/meta.xml><?xml version="1.0" encoding="utf-8"?>
<meta xmlns="http://schemas.apple.com/cocoa/2006/metadata">
  <generator>CocoaOOXMLWriter/2575.5</generator>
</meta>
</file>