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  <w:r>
        <w:rPr>
          <w:rFonts w:ascii="Times" w:hAnsi="Times" w:cs="Times"/>
          <w:sz w:val="22"/>
          <w:sz-cs w:val="22"/>
          <w:spacing w:val="48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开源软件管理规范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"_Toc207808815"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1、总则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_Toc207808815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"_Toc207808816"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1.1目的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_Toc207808816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_Toc207808817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1.3基本原则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_Toc207808818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2、开源组件选型管理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_Toc207808819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2.1选型标准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_Toc207808820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2.2选型流程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_Toc207808821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3、开源组件入库管理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_Toc207808822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3.1入库准入条件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_Toc207808823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3.2入库流程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_Toc207808824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3.3入库后维护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_Toc207808825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4、开源组件引用管理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_Toc207808826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引用前提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_Toc207808827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引用流程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_Toc207808828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引用规范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_Toc207808829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5、开源组件生命周期管理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_Toc207808830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生命周期阶段定义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_Toc207808831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全生命周期追溯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_Toc207808832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6、保障机制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_Toc207808833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6.1组织保障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_Toc207808834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6.2培训机制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_Toc207808835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6.3审计机制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_Toc207808836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6.4责任追究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_Toc207808837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7、附录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_Toc207808838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"_Toc207808839"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1：开源许可证允许清单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_Toc207808839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总则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1.1目的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为规范企业对开源软件及依赖组件（以下统称 “开源组件”）的选型、使用、管理全流程，防范开源许可证合规风险、安全漏洞风险及技术兼容风险，保障业务系统稳定性与知识产权合规性，提升开源组件复用效率，特制定本办法。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1.2适用范围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本办法适用于企业所有业务线（如产品研发、运维支撑、测试工具开发等）、所有技术团队（开发、测试、运维、架构组）在软件全生命周期（需求、设计、开发、测试、上线、运维、退役）中涉及的开源组件，包括但不限于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直接使用的开源框架（如 Spring Boot、React）、工具（如 Jenkins、Git）；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间接依赖的第三方组件（如 Maven 仓库中的 Jar 包、npm 仓库中的 Node 模块）；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基于开源项目二次开发的定制化组件。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1.3基本原则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合规优先</w:t>
      </w:r>
      <w:r>
        <w:rPr>
          <w:rFonts w:ascii="Times" w:hAnsi="Times" w:cs="Times"/>
          <w:sz w:val="21"/>
          <w:sz-cs w:val="21"/>
        </w:rPr>
        <w:t xml:space="preserve">：所有开源组件的使用需符合其许可证条款（如 MIT、Apache、GPL 等），禁止使用存在知识产权纠纷或许可证限制（如要求衍生作品开源）的组件；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安全可控</w:t>
      </w:r>
      <w:r>
        <w:rPr>
          <w:rFonts w:ascii="Times" w:hAnsi="Times" w:cs="Times"/>
          <w:sz w:val="21"/>
          <w:sz-cs w:val="21"/>
        </w:rPr>
        <w:t xml:space="preserve">：优先选择漏洞少、维护活跃、安全补丁更新及时的开源组件，禁止使用已终止维护（EOL）或存在高危未修复漏洞的组件；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按需选用</w:t>
      </w:r>
      <w:r>
        <w:rPr>
          <w:rFonts w:ascii="Times" w:hAnsi="Times" w:cs="Times"/>
          <w:sz w:val="21"/>
          <w:sz-cs w:val="21"/>
        </w:rPr>
        <w:t xml:space="preserve">：基于业务需求与技术适配性选型，避免冗余引入组件（如同一功能重复引入多个同类组件）；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全程追溯</w:t>
      </w:r>
      <w:r>
        <w:rPr>
          <w:rFonts w:ascii="Times" w:hAnsi="Times" w:cs="Times"/>
          <w:sz w:val="21"/>
          <w:sz-cs w:val="21"/>
        </w:rPr>
        <w:t xml:space="preserve">：开源组件的选型、入库、引用、升级、退役需全流程记录，确保可追溯、可审计。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2、开源组件选型管理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2.1选型标准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选型需从合规性、安全性、技术适配性、生态成熟度四大维度评估，具体标准如下：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评估维度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核心要求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合规性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许可证类型需符合企业合规要求（允许清单见附录 1，禁止清单：GPL v3、AGPL 等强传染性许可证）；2. 无已知知识产权诉讼或侵权纠纷；3. 许可证条款无 “强制开源衍生作品”“禁止商业使用” 等限制。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安全性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近 1 年内无高危（CVSS 评分≥9.0）、严重（CVSS 评分 7.0-8.9）漏洞；2. 维护团队活跃（近 6 个月有版本更新或漏洞修复）；3. 提供明确的安全漏洞反馈渠道（如官方 GitHub Issues、安全邮箱）。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技术适配性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与企业现有技术架构（如操作系统、中间件、编程语言版本）兼容；2. 性能满足业务需求（如并发量、响应时间、资源占用）；3. 支持扩展或定制开发（如需二次开发）。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生态成熟度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官方文档完整（含安装、配置、API 说明）；2. 社区活跃（如 GitHub 星数≥5k、Issue 响应时间≤72 小时）；3. 有成熟的依赖管理机制（如支持 Maven、npm 等主流包管理工具）。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2.2选型流程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选型申请</w:t>
      </w:r>
      <w:r>
        <w:rPr>
          <w:rFonts w:ascii="Times" w:hAnsi="Times" w:cs="Times"/>
          <w:sz w:val="21"/>
          <w:sz-cs w:val="21"/>
        </w:rPr>
        <w:t xml:space="preserve">：需求部门（如开发团队）填写《开源组件选型申请表》（见附录 2），明确组件名称、版本、用途、评估结论（按 2.1 标准），提交至技术架构组；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多维度审核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技术架构组：审核技术适配性与生态成熟度，1 个工作日内反馈意见；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信息安全部：通过漏洞扫描工具（如 OWASP Dependency-Check、Snyk）检测组件漏洞，2 个工作日内出具《安全评估报告》；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3.</w:t>
        <w:tab/>
        <w:t xml:space="preserve">法务部：审核许可证合规性，确认无知识产权风险，1 个工作日内反馈意见；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决策与备案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普通组件（非核心业务依赖）：技术架构组负责人审批通过后，同步至开源组件管理平台备案；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核心组件（如支撑交易、用户系统的组件）：需经技术总监审批，抄送法务部、信息安全部备案。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3、开源组件入库管理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企业建立内部开源组件库（以下简称 “企业库”），仅允许从企业库引用组件，禁止直接引用外部公共仓库（如 Maven Central、npm Registry）组件。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3.1入库准入条件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需同时满足以下条件方可入库：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已通过 2.2 节选型流程审批；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经信息安全部漏洞扫描，确认无高危 / 严重漏洞；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组件包完整性校验通过（如 MD5/SHA256 哈希值与官方一致）；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已标注关键信息（组件名称、版本、许可证类型、官方地址、安全联系人、入库时间）。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3.2入库流程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入库申请</w:t>
      </w:r>
      <w:r>
        <w:rPr>
          <w:rFonts w:ascii="Times" w:hAnsi="Times" w:cs="Times"/>
          <w:sz w:val="21"/>
          <w:sz-cs w:val="21"/>
        </w:rPr>
        <w:t xml:space="preserve">：技术团队提交《开源组件入库申请表》（见附录 3），附选型审批意见、安全评估报告、组件包及哈希值证明，提交至开源组件管理员（由技术管理部指定）；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入库审核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开源组件管理员：核查申请材料完整性，1 个工作日内完成初步审核；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信息安全部：对组件包进行二次漏洞扫描（避免传输过程中被篡改），1 个工作日内反馈结果；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入库与同步</w:t>
      </w:r>
      <w:r>
        <w:rPr>
          <w:rFonts w:ascii="Times" w:hAnsi="Times" w:cs="Times"/>
          <w:sz w:val="21"/>
          <w:sz-cs w:val="21"/>
        </w:rPr>
        <w:t xml:space="preserve">：审核通过后，开源组件管理员将组件上传至企业库，同步更新《企业开源组件清单》（见附录 4，含组件状态、版本、依赖关系），并推送至各技术团队。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3.3入库后维护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定期扫描</w:t>
      </w:r>
      <w:r>
        <w:rPr>
          <w:rFonts w:ascii="Times" w:hAnsi="Times" w:cs="Times"/>
          <w:sz w:val="21"/>
          <w:sz-cs w:val="21"/>
        </w:rPr>
        <w:t xml:space="preserve">：信息安全部每月对企业库组件进行漏洞扫描，发现高危 / 严重漏洞时，立即标记组件为 “待升级”，通知相关团队；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版本更新</w:t>
      </w:r>
      <w:r>
        <w:rPr>
          <w:rFonts w:ascii="Times" w:hAnsi="Times" w:cs="Times"/>
          <w:sz w:val="21"/>
          <w:sz-cs w:val="21"/>
        </w:rPr>
        <w:t xml:space="preserve">：组件官方发布安全补丁或稳定版本时，开源组件管理员需在 1 周内完成评估，符合入库条件的更新至企业库，并标注 “推荐版本”；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淘汰机制</w:t>
      </w:r>
      <w:r>
        <w:rPr>
          <w:rFonts w:ascii="Times" w:hAnsi="Times" w:cs="Times"/>
          <w:sz w:val="21"/>
          <w:sz-cs w:val="21"/>
        </w:rPr>
        <w:t xml:space="preserve">：组件终止维护（EOL）、存在无法修复的高危漏洞或许可证条款变更为禁止类型时，标记为 “禁止使用”，从企业库下架并通知所有团队停止引用。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4、开源组件引用管理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引用前提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仅允许引用企业库中 “可用” 状态的组件，禁止引用 “待升级”“禁止使用” 状态或未入库的组件；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引用前需确认组件版本与现有系统依赖无冲突（如避免同一组件不同版本共存导致的兼容性问题）。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引用流程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引用申请</w:t>
      </w:r>
      <w:r>
        <w:rPr>
          <w:rFonts w:ascii="Times" w:hAnsi="Times" w:cs="Times"/>
          <w:sz w:val="21"/>
          <w:sz-cs w:val="21"/>
        </w:rPr>
        <w:t xml:space="preserve">：开发人员填写《开源组件引用申请表》（见附录 5），明确组件名称、版本、引用项目、用途，提交至项目技术负责人；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依赖校验</w:t>
      </w:r>
      <w:r>
        <w:rPr>
          <w:rFonts w:ascii="Times" w:hAnsi="Times" w:cs="Times"/>
          <w:sz w:val="21"/>
          <w:sz-cs w:val="21"/>
        </w:rPr>
        <w:t xml:space="preserve">：项目技术负责人核查组件与项目现有依赖的兼容性（可通过工具如 Maven Dependency Tree、npm ls 分析），1 个工作日内审批；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记录同步</w:t>
      </w:r>
      <w:r>
        <w:rPr>
          <w:rFonts w:ascii="Times" w:hAnsi="Times" w:cs="Times"/>
          <w:sz w:val="21"/>
          <w:sz-cs w:val="21"/>
        </w:rPr>
        <w:t xml:space="preserve">：审批通过后，开发人员从企业库引入组件，在项目配置文件（如 pom.xml、package.json）中明确组件版本，并将引用记录同步至开源组件管理平台（关联项目 ID）。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引用规范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版本锁定</w:t>
      </w:r>
      <w:r>
        <w:rPr>
          <w:rFonts w:ascii="Times" w:hAnsi="Times" w:cs="Times"/>
          <w:sz w:val="21"/>
          <w:sz-cs w:val="21"/>
        </w:rPr>
        <w:t xml:space="preserve">：项目配置文件中需锁定组件版本（如 Maven 使用&lt;version&gt;固定版本，禁止使用LATEST），避免自动升级导致兼容性问题；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依赖清理</w:t>
      </w:r>
      <w:r>
        <w:rPr>
          <w:rFonts w:ascii="Times" w:hAnsi="Times" w:cs="Times"/>
          <w:sz w:val="21"/>
          <w:sz-cs w:val="21"/>
        </w:rPr>
        <w:t xml:space="preserve">：项目上线前需清理未使用的依赖组件（如通过 Maven Dependency:analyze、npm prune 工具检测冗余依赖）；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文档同步</w:t>
      </w:r>
      <w:r>
        <w:rPr>
          <w:rFonts w:ascii="Times" w:hAnsi="Times" w:cs="Times"/>
          <w:sz w:val="21"/>
          <w:sz-cs w:val="21"/>
        </w:rPr>
        <w:t xml:space="preserve">：项目文档中需新增《开源组件引用清单》，列明所有引用组件的名称、版本、许可证类型，随项目归档。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最小化原则</w:t>
      </w:r>
      <w:r>
        <w:rPr>
          <w:rFonts w:ascii="Times" w:hAnsi="Times" w:cs="Times"/>
          <w:sz w:val="21"/>
          <w:sz-cs w:val="21"/>
        </w:rPr>
        <w:t xml:space="preserve">：在满足项目功能需求的前提下，以 “最少、最精简” 的方式引入依赖组件，从源头减少不必要的代码、功能模块和潜在安全风险的管理原则。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5、开源组件生命周期管理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生命周期阶段定义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开源组件生命周期分为</w:t>
      </w:r>
      <w:r>
        <w:rPr>
          <w:rFonts w:ascii="Times" w:hAnsi="Times" w:cs="Times"/>
          <w:sz w:val="21"/>
          <w:sz-cs w:val="21"/>
          <w:b/>
        </w:rPr>
        <w:t xml:space="preserve">规划、引入、使用、升级、退役</w:t>
      </w:r>
      <w:r>
        <w:rPr>
          <w:rFonts w:ascii="Times" w:hAnsi="Times" w:cs="Times"/>
          <w:sz w:val="21"/>
          <w:sz-cs w:val="21"/>
        </w:rPr>
        <w:t xml:space="preserve">五个阶段，各阶段管理要求如下：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生命周期阶段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管理要求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规划阶段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结合项目需求，确定是否需要引入开源组件，优先从企业库现有组件中选型（避免重复选型）。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引入阶段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完成选型审批与入库流程，确保组件符合合规、安全要求（见第二、三章）。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使用阶段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定期（项目迭代周期内）核查组件漏洞情况；2. 记录组件使用过程中的问题（如兼容性 bug），反馈至开源组件管理员；3. 禁止私自修改组件源码（如需修改，需走 “定制化组件审批流程”）。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升级阶段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触发条件：组件出现高危漏洞、官方发布稳定新版本、现有版本无法满足业务需求；2. 升级流程：参照 2.2 选型流程重新评估新版本，通过后更新企业库版本，通知相关项目升级；3. 回滚预案：升级前需制定回滚方案（如保留旧版本依赖），测试环境验证通过后方可在生产环境升级。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退役阶段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触发条件：组件终止维护、被更优组件替代、项目下线；2. 退役流程：项目技术负责人提交《开源组件退役申请表》（见附录 6），说明退役原因与影响范围，经技术架构组审批后，在开源组件管理平台标记组件 “退役”，同步清理项目中相关依赖；3. 归档要求：退役组件的引用记录、版本信息需归档至企业知识库，保存期限不低于 3 年。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全生命周期追溯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开源组件管理平台需记录以下信息，确保全程可追溯：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选型阶段：选型申请表、审核意见、评估报告；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入库阶段：入库申请表、漏洞扫描报告、组件包哈希值；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引用阶段：引用申请表、项目关联信息、配置文件快照；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升级阶段：升级评估报告、版本变更记录、测试验证结果；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退役阶段：退役申请表、影响评估报告、清理记录。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6、保障机制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6.1组织保障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成立</w:t>
      </w:r>
      <w:r>
        <w:rPr>
          <w:rFonts w:ascii="Times" w:hAnsi="Times" w:cs="Times"/>
          <w:sz w:val="21"/>
          <w:sz-cs w:val="21"/>
          <w:b/>
        </w:rPr>
        <w:t xml:space="preserve">开源软件管理委员会</w:t>
      </w:r>
      <w:r>
        <w:rPr>
          <w:rFonts w:ascii="Times" w:hAnsi="Times" w:cs="Times"/>
          <w:sz w:val="21"/>
          <w:sz-cs w:val="21"/>
        </w:rPr>
        <w:t xml:space="preserve">，成员包括：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技术管理部：负责统筹管理、流程制定与组件库维护；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法务部：负责许可证合规审核、知识产权风险把控；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信息安全部：负责漏洞扫描、安全风险评估；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各业务线技术负责人：负责本业务线组件选型、引用的合规性审核。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6.2培训机制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新员工入职培训：纳入开源合规与安全使用课程，覆盖本办法核心要求、许可证常识、漏洞防范措施；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定期培训：每季度组织 1 次开源管理培训，更新许可证政策、高危漏洞案例、工具使用（如漏洞扫描工具）。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6.3审计机制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月度抽查：技术管理部每月抽查 3-5 个项目的开源组件引用情况，核查是否符合本办法要求；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季度审计：信息安全部每季度对企业库组件进行全面漏洞审计，法务部每季度审计许可证合规性；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年度复盘：每年 12 月对本办法执行情况进行复盘，优化选型标准、流程效率与工具支持。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6.4责任追究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未按流程选型 / 引用未入库组件：责令整改，扣减项目团队当月绩效 10%-20%；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因违规使用开源组件导致合规纠纷（如侵权诉讼）或安全事故（如数据泄露）：追究直接责任人与团队负责人责任，情节严重者按企业制度处理。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7、附录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1：开源许可证允许清单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许可证类型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适用场景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核心限制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MIT License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通用组件（如工具类、前端框架）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需保留版权声明，无其他限制（允许商业使用、闭源衍生）。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Apache License 2.0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核心业务组件（如后端框架）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需保留版权声明与许可证文本，禁止 trademark 滥用，允许商业使用、闭源衍生。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BSD 3-Clause License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工具类、测试组件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需保留版权声明，禁止使用作者名义推广衍生作品，允许商业使用、闭源衍生。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