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  <w:r>
        <w:rPr>
          <w:rFonts w:ascii="Times" w:hAnsi="Times" w:cs="Times"/>
          <w:sz w:val="22"/>
          <w:sz-cs w:val="22"/>
          <w:spacing w:val="48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环境隔离情况说明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1、引言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_Toc207636484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1.1背景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_Toc207636485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_Toc207636486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2、各环境核心定位与特征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_Toc207636487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3、环境隔离核心目标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_Toc207636488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"_Toc207636489"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4、具体隔离措施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_Toc207636489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网络隔离（核心管控层）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_Toc207636490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4.1.1物理网络分区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_Toc207636491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4.2.2访问控制策略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_Toc207636492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数据隔离（敏感防护层）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_Toc207636493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4.2.1数据储存隔离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_Toc207636494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4.2.2数据生命周期管控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_Toc207636495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权限隔离（操作管控层）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_Toc207636496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4.3.1人员权限分级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_Toc207636497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4.3.2权限授予与回收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_Toc207636498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"_Toc207636499"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硬件与资源隔离（基础支撑层）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_Toc207636499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4.4.1硬件设备独立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_Toc207636500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4.4.2资源调度隔离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_Toc207636501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4.5软件与配置隔离（应用管控层）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_Toc207636502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4.5.1软件版本独立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_Toc207636503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4.5.2配置变更管控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_Toc207636504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5、隔离保障机制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_Toc207636505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技术监控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_Toc207636506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管理流程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_Toc207636507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人员培训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_Toc207636508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"_Toc207636509"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6、风险与应对措施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_Toc207636509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"_Toc207636510"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7、结论与持续优化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_Toc207636510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引言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1.1背景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随着公司数字验证业务（如芯片验证、系统功能验证等）规模扩大，研发、测试、生产环境承载的数据敏感性（如客户验证需求、核心算法参数）、业务稳定性要求差异显著。为避免环境间数据泄露、操作干扰导致的验证结果偏差、生产服务中断等风险，特制定本环境隔离方案，明确各环境边界与管控规则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1.2适用范围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覆盖公司所有数字验证相关的研发环境（含算法开发、工具定制）、测试环境（含功能测试、性能测试）、生产环境（含客户委托验证服务、线上交付系统）及相关硬件设备、网络链路、人员权限。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2、各环境核心定位与特征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环境类型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核心用途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数据类型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用户群体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稳定性要求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数字验证算法开发、验证工具定制、流程调试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模拟测试数据、开源参考数据、内部研发文档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研发工程师、算法研究员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低（允许频繁迭代、环境重启）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验证研发成果有效性（功能 / 性能 / 兼容性）、复现问题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脱敏客户数据（经授权）、标准化测试用例数据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测试工程师、研发协同人员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中（需稳定支撑测试流程，禁止随意变更配置）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为客户提供正式数字验证服务、生成交付报告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客户真实业务数据（加密存储）、正式验证结果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运维工程师、客户对接人员（只读权限）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高（需 99.9% 以上可用性，禁止非授权操作）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3、环境隔离核心目标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数据隔离：杜绝研发 / 测试环境的模拟 / 脱敏数据流入生产环境，防止生产环境客户敏感数据泄露至研发 / 测试环境；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流程隔离：研发迭代不影响测试流程稳定性，测试验证不干扰生产服务连续性；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风险隔离：某一环境出现故障（如研发代码 bug、测试配置错误）时，不扩散至其他环境；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合规隔离：满足客户对数据安全的合规要求（如 ISO 27001、客户定制化保密协议）。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4、具体隔离措施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网络隔离（核心管控层）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4.1.1物理网络分区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采用 VLAN（虚拟局域网）划分独立网络段：研发环境 VLAN 段（192.168.1.0/24）、测试环境 VLAN 段（192.168.2.0/24）、生产环境 VLAN 段（10.0.1.0/24），各 VLAN 间通过三层交换机隔离，禁止默认互通。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生产环境单独部署物理防火墙（如华为 USG6000E），仅开放必要端口（如客户访问的 443 端口、运维远程管理的 22 端口，且绑定固定 IP），研发 / 测试环境无法直接访问生产环境网络。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4.1.2访问控制策略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研发→测试环境：仅允许研发人员通过公司内部 VPN（需双因素认证）访问测试环境指定服务器，且仅开放测试用例上传、结果查看权限，禁止修改测试环境核心配置；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测试→生产环境：完全阻断直接访问，测试数据如需用于生产验证，需经 “测试负责人审批→信息安全部审核→运维人员手动导入（加密传输）” 三级管控；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生产→研发 / 测试环境：禁止任何数据主动同步，仅允许运维人员通过审计日志系统（如奇安信日志审计平台）导出生产环境操作日志至测试环境用于问题分析（脱敏处理后）。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数据隔离（敏感防护层）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4.2.1数据储存隔离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各环境采用独立存储设备：研发环境使用本地 NAS 存储（非加密，便于快速迭代）、测试环境使用企业级存储（脱敏数据加密）、生产环境使用分布式存储（客户数据端到端加密，密钥由客户 / 公司双控）；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禁止跨环境数据拷贝：研发 / 测试环境无生产环境数据读取权限，生产环境数据导出需客户书面授权，且导出文件需加密并标注 “仅限指定用途”。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4.2.2数据生命周期管控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研发环境数据：迭代完成后保留核心版本（存至内部代码库），临时测试数据自动清理（周期 7 天）；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测试环境数据：测试项目结束后，脱敏客户数据销毁（留存销毁记录），标准化测试用例归档至测试库；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生产环境数据：按客户协议留存（一般 1-3 年），到期后经客户确认后销毁，销毁过程全程录像备案。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权限隔离（操作管控层）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4.3.1人员权限分级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研发人员：仅拥有研发环境完全操作权限，测试环境 “只读 + 测试用例上传” 权限，无生产环境任何权限；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测试人员：拥有测试环境完全操作权限，研发环境 “只读 + 问题反馈” 权限，无生产环境权限；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运维人员：拥有生产环境运维权限（如服务启停、配置变更，需双人复核），研发 / 测试环境基础运维权限（禁止修改核心业务配置）；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管理层：仅拥有各环境 “只读 + 审计” 权限，无操作权限。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4.3.2权限授予与回收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采用 “最小权限 + 按需申请” 原则：权限申请需经部门负责人、信息安全部双重审批，有效期最长 3 个月，到期自动回收；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人员离职 / 调岗时，24 小时内回收所有环境权限（由 HR 触发，IT 部门执行，留存权限变更记录）。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硬件与资源隔离（基础支撑层）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4.4.1硬件设备独立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 / 测试 / 生产环境使用完全独立的服务器集群、计算节点（如研发用 X86 服务器、生产用高性能 GPU 服务器），禁止硬件资源共享；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核心设备（如生产环境存储阵列、防火墙）部署冗余节点，避免单点故障扩散。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4.4.2资源调度隔离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采用虚拟化平台（如 VMware vSphere）划分独立资源池：研发资源池（CPU / 内存占比 40%）、测试资源池（30%）、生产资源池（30%），资源池间禁止跨池调度；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生产环境资源优先保障，研发 / 测试环境资源使用峰值不占用生产资源（通过资源监控平台实时管控）。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4.5软件与配置隔离（应用管控层）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4.5.1软件版本独立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各环境部署的数字验证工具（如 Synopsys VCS、Cadence Xcelium）、操作系统版本独立，研发环境可使用 beta 版工具，生产环境仅使用经测试验证的稳定版（版本号需记录备案）；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禁止跨环境软件拷贝：生产环境软件安装需经 “测试验证→安全扫描→运维部署” 流程，禁止直接使用研发 / 测试环境的软件安装包。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4.5.2配置变更管控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研发环境：配置变更无需审批（但需记录变更日志）；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测试环境：配置变更需测试负责人审批，变更后同步至研发团队；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生产环境：配置变更需 “运维申请→技术负责人审批→测试环境预验证→生产灰度变更→全量生效” 流程，变更过程全程记录，可回滚。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5、隔离保障机制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技术监控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部署网络流量监控系统（如深信服 NGAF），实时监测跨 VLAN 访问行为，异常流量（如研发尝试访问生产端口）自动阻断并告警；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部署服务器操作审计系统（如安恒明御运维审计），记录各环境所有操作（含账号、时间、操作内容），保留审计日志至少 6 个月；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定期（每月）开展漏洞扫描（使用 Nessus），重点检查环境间隔离边界的安全漏洞。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管理流程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制定《环境隔离管理规范》，明确各部门职责（技术部负责技术实现、信息安全部负责合规检查、业务部门负责需求提报）；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每季度召开环境隔离评审会，复盘隔离措施有效性，更新管控规则（如新增客户合规要求时调整数据隔离策略）；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建立环境故障应急响应流程：某一环境故障时，先隔离故障节点，再排查原因，避免故障扩散（如生产环境异常时，先切断与测试环境的关联链路）。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人员培训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新员工入职需完成《环境隔离安全培训》并通过考核（如识别跨环境数据传输风险）；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每半年组织一次环境隔离应急演练（如模拟研发人员误操作访问生产环境，测试应急响应流程）。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6、风险与应对措施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风险类型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具体场景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应对措施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隔离失效风险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防火墙配置错误导致研发环境可访问生产环境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 配置变更前需双人复核；2. 每日自动巡检防火墙规则，发现异常立即回滚；3. 生产环境数据额外加密存储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操作失误风险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测试人员误将真实客户数据导入测试环境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 测试环境数据导入需经 “数据脱敏验证”；2. 建立数据溯源机制，异常数据可快速定位来源并销毁；3. 违规操作纳入员工绩效考核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外部攻击风险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黑客通过研发环境跳板攻击生产环境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 研发环境部署 IDS/IPS（入侵检测 / 防御系统）；2. 生产环境与研发环境间设置 “空路由”（无直接通信链路）；3. 定期开展渗透测试，模拟外部攻击场景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7、结论与持续优化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当前环境隔离方案已覆盖网络、数据、权限等核心维度，可满足数字验证业务对环境安全性、稳定性的需求。后续将结合业务发展（如新增云端验证服务）、合规要求升级（如客户新增数据本地化要求），每年度更新本方案，确保隔离措施持续有效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审批签字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技术部负责人：__________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信息安全部负责人：__________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公司负责人：__________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  <w:b/>
        </w:rPr>
        <w:t xml:space="preserve">审批日期</w:t>
      </w:r>
      <w:r>
        <w:rPr>
          <w:rFonts w:ascii="Times" w:hAnsi="Times" w:cs="Times"/>
          <w:sz w:val="21"/>
          <w:sz-cs w:val="21"/>
        </w:rPr>
        <w:t xml:space="preserve">：____年__月__日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