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Working: Guidance for Staff</w:t>
      </w:r>
    </w:p>
    <w:p>
      <w:r>
        <w:rPr>
          <w:i/>
        </w:rPr>
        <w:t>Practice document for the AI in the Workplace workshop. Fictional, written with deliberate problems to find.</w:t>
      </w:r>
    </w:p>
    <w:p>
      <w:pPr>
        <w:pStyle w:val="Heading1"/>
      </w:pPr>
      <w:r>
        <w:t>1. Purpose</w:t>
      </w:r>
    </w:p>
    <w:p>
      <w:r>
        <w:t>The purpose of this document is to facilitate the operationalisation of hybrid working arrangements across the organisation in order to leverage the benefits of flexible deployment of human resources whilst ensuring that business continuity and service delivery objectives continue to be met in accordance with organisational priorities.</w:t>
      </w:r>
    </w:p>
    <w:p>
      <w:pPr>
        <w:pStyle w:val="Heading1"/>
      </w:pPr>
      <w:r>
        <w:t>2. Background</w:t>
      </w:r>
    </w:p>
    <w:p>
      <w:r>
        <w:t>Hybrid working has been shown to increase productivity by 40% and almost all staff prefer it. It is therefore considered that hybrid working represents the optimal model going forward.</w:t>
      </w:r>
    </w:p>
    <w:p>
      <w:pPr>
        <w:pStyle w:val="Heading1"/>
      </w:pPr>
      <w:r>
        <w:t>3. Who can apply</w:t>
      </w:r>
    </w:p>
    <w:p>
      <w:r>
        <w:t>Hybrid working is available to eligible employees. Employees who wish to be considered for hybrid working should discuss this with their line manager. Where it is deemed appropriate by the supervisor, an application can be progressed. The team leader will then make a final determination.</w:t>
      </w:r>
    </w:p>
    <w:p>
      <w:pPr>
        <w:pStyle w:val="Heading1"/>
      </w:pPr>
      <w:r>
        <w:t>4. How to apply</w:t>
      </w:r>
    </w:p>
    <w:p>
      <w:r>
        <w:t>Applications should be submitted using the relevant form. Applications will be reviewed in due course and a decision will be communicated. It should be noted that incomplete applications may not be processed.</w:t>
      </w:r>
    </w:p>
    <w:p>
      <w:pPr>
        <w:pStyle w:val="Heading1"/>
      </w:pPr>
      <w:r>
        <w:t>5. Working from home</w:t>
      </w:r>
    </w:p>
    <w:p>
      <w:r>
        <w:t>Staff working remotely must ensure that their home working environment is fit for purpose, including but not limited to appropriate IT equipment, connectivity and health and safety considerations, which should be assessed as necessary.</w:t>
      </w:r>
    </w:p>
    <w:p>
      <w:r>
        <w:t>Colleagues working from home should utilise Teams for communication. Agile workers are also expected to attend the office on anchor days.</w:t>
      </w:r>
    </w:p>
    <w:p>
      <w:pPr>
        <w:pStyle w:val="Heading1"/>
      </w:pPr>
      <w:r>
        <w:t>6. Review</w:t>
      </w:r>
    </w:p>
    <w:p>
      <w:r>
        <w:t>This guidance will be reviewed periodically and any changes will be cascaded to relevant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