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11EA" w14:textId="77777777" w:rsidR="00572709" w:rsidRPr="00572709" w:rsidRDefault="00572709" w:rsidP="00572709">
      <w:pPr>
        <w:shd w:val="clear" w:color="auto" w:fill="FFFFFF"/>
        <w:spacing w:before="286" w:after="480" w:line="780" w:lineRule="atLeast"/>
        <w:outlineLvl w:val="0"/>
        <w:rPr>
          <w:rFonts w:ascii="Helvetica Neue" w:eastAsia="Times New Roman" w:hAnsi="Helvetica Neue" w:cs="Segoe UI"/>
          <w:b/>
          <w:bCs/>
          <w:color w:val="242424"/>
          <w:spacing w:val="-3"/>
          <w:kern w:val="36"/>
          <w:sz w:val="63"/>
          <w:szCs w:val="63"/>
          <w14:ligatures w14:val="none"/>
        </w:rPr>
      </w:pPr>
      <w:r w:rsidRPr="00572709">
        <w:rPr>
          <w:rFonts w:ascii="Helvetica Neue" w:eastAsia="Times New Roman" w:hAnsi="Helvetica Neue" w:cs="Segoe UI"/>
          <w:b/>
          <w:bCs/>
          <w:color w:val="242424"/>
          <w:spacing w:val="-3"/>
          <w:kern w:val="36"/>
          <w:sz w:val="63"/>
          <w:szCs w:val="63"/>
          <w14:ligatures w14:val="none"/>
        </w:rPr>
        <w:t>From Triples to Tiles: How Knowledge-Graph, Retrieval, and Workflow Abbreviations Compose a Semantically-Indexed, Agent-Orchestrated Blockchain Storage Service</w:t>
      </w:r>
    </w:p>
    <w:p w14:paraId="062A1F91" w14:textId="77777777" w:rsidR="00572709" w:rsidRPr="00572709" w:rsidRDefault="00572709" w:rsidP="00572709">
      <w:pPr>
        <w:shd w:val="clear" w:color="auto" w:fill="FFFFFF"/>
        <w:spacing w:after="0" w:line="240" w:lineRule="auto"/>
        <w:rPr>
          <w:rFonts w:ascii="Segoe UI" w:eastAsia="Times New Roman" w:hAnsi="Segoe UI" w:cs="Times New Roman"/>
          <w:color w:val="0000FF"/>
          <w:kern w:val="0"/>
          <w:sz w:val="27"/>
          <w:szCs w:val="27"/>
          <w14:ligatures w14:val="none"/>
        </w:rPr>
      </w:pPr>
      <w:r w:rsidRPr="00572709">
        <w:rPr>
          <w:rFonts w:ascii="Segoe UI" w:eastAsia="Times New Roman" w:hAnsi="Segoe UI" w:cs="Segoe UI"/>
          <w:kern w:val="0"/>
          <w:sz w:val="27"/>
          <w:szCs w:val="27"/>
          <w14:ligatures w14:val="none"/>
        </w:rPr>
        <w:fldChar w:fldCharType="begin"/>
      </w:r>
      <w:r w:rsidRPr="00572709">
        <w:rPr>
          <w:rFonts w:ascii="Segoe UI" w:eastAsia="Times New Roman" w:hAnsi="Segoe UI" w:cs="Segoe UI"/>
          <w:kern w:val="0"/>
          <w:sz w:val="27"/>
          <w:szCs w:val="27"/>
          <w14:ligatures w14:val="none"/>
        </w:rPr>
        <w:instrText>HYPERLINK "https://medium.com/@gwrx2005?source=post_page---byline--bc34b6ab7d1e---------------------------------------"</w:instrText>
      </w:r>
      <w:r w:rsidRPr="00572709">
        <w:rPr>
          <w:rFonts w:ascii="Segoe UI" w:eastAsia="Times New Roman" w:hAnsi="Segoe UI" w:cs="Segoe UI"/>
          <w:kern w:val="0"/>
          <w:sz w:val="27"/>
          <w:szCs w:val="27"/>
          <w14:ligatures w14:val="none"/>
        </w:rPr>
      </w:r>
      <w:r w:rsidRPr="00572709">
        <w:rPr>
          <w:rFonts w:ascii="Segoe UI" w:eastAsia="Times New Roman" w:hAnsi="Segoe UI" w:cs="Segoe UI"/>
          <w:kern w:val="0"/>
          <w:sz w:val="27"/>
          <w:szCs w:val="27"/>
          <w14:ligatures w14:val="none"/>
        </w:rPr>
        <w:fldChar w:fldCharType="separate"/>
      </w:r>
    </w:p>
    <w:p w14:paraId="1909C430" w14:textId="62655AD0" w:rsidR="00572709" w:rsidRPr="00572709" w:rsidRDefault="00572709" w:rsidP="00572709">
      <w:pPr>
        <w:shd w:val="clear" w:color="auto" w:fill="FFFFFF"/>
        <w:spacing w:after="0" w:line="240" w:lineRule="auto"/>
        <w:rPr>
          <w:rFonts w:ascii="Times New Roman" w:eastAsia="Times New Roman" w:hAnsi="Times New Roman" w:cs="Times New Roman"/>
          <w:kern w:val="0"/>
          <w14:ligatures w14:val="none"/>
        </w:rPr>
      </w:pPr>
      <w:r w:rsidRPr="00572709">
        <w:rPr>
          <w:rFonts w:ascii="Segoe UI" w:eastAsia="Times New Roman" w:hAnsi="Segoe UI" w:cs="Segoe UI"/>
          <w:color w:val="0000FF"/>
          <w:kern w:val="0"/>
          <w:sz w:val="27"/>
          <w:szCs w:val="27"/>
          <w14:ligatures w14:val="none"/>
        </w:rPr>
        <w:fldChar w:fldCharType="begin"/>
      </w:r>
      <w:r w:rsidRPr="00572709">
        <w:rPr>
          <w:rFonts w:ascii="Segoe UI" w:eastAsia="Times New Roman" w:hAnsi="Segoe UI" w:cs="Segoe UI"/>
          <w:color w:val="0000FF"/>
          <w:kern w:val="0"/>
          <w:sz w:val="27"/>
          <w:szCs w:val="27"/>
          <w14:ligatures w14:val="none"/>
        </w:rPr>
        <w:instrText xml:space="preserve"> INCLUDEPICTURE "https://miro.medium.com/v2/resize:fill:64:64/0*2adGTKyOUU-W0DBZ." \* MERGEFORMATINET </w:instrText>
      </w:r>
      <w:r w:rsidRPr="00572709">
        <w:rPr>
          <w:rFonts w:ascii="Segoe UI" w:eastAsia="Times New Roman" w:hAnsi="Segoe UI" w:cs="Segoe UI"/>
          <w:color w:val="0000FF"/>
          <w:kern w:val="0"/>
          <w:sz w:val="27"/>
          <w:szCs w:val="27"/>
          <w14:ligatures w14:val="none"/>
        </w:rPr>
        <w:fldChar w:fldCharType="separate"/>
      </w:r>
      <w:r w:rsidRPr="00572709">
        <w:rPr>
          <w:rFonts w:ascii="Segoe UI" w:eastAsia="Times New Roman" w:hAnsi="Segoe UI" w:cs="Segoe UI"/>
          <w:noProof/>
          <w:color w:val="0000FF"/>
          <w:kern w:val="0"/>
          <w:sz w:val="27"/>
          <w:szCs w:val="27"/>
          <w14:ligatures w14:val="none"/>
        </w:rPr>
        <w:drawing>
          <wp:inline distT="0" distB="0" distL="0" distR="0" wp14:anchorId="04F83F6B" wp14:editId="5F307E2D">
            <wp:extent cx="406400" cy="406400"/>
            <wp:effectExtent l="0" t="0" r="0" b="0"/>
            <wp:docPr id="657446240" name="Picture 3" descr="Jung-Hua Liu">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ng-Hua Liu">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2709">
        <w:rPr>
          <w:rFonts w:ascii="Segoe UI" w:eastAsia="Times New Roman" w:hAnsi="Segoe UI" w:cs="Segoe UI"/>
          <w:color w:val="0000FF"/>
          <w:kern w:val="0"/>
          <w:sz w:val="27"/>
          <w:szCs w:val="27"/>
          <w14:ligatures w14:val="none"/>
        </w:rPr>
        <w:fldChar w:fldCharType="end"/>
      </w:r>
    </w:p>
    <w:p w14:paraId="26B815FE" w14:textId="77777777" w:rsidR="00572709" w:rsidRPr="00572709" w:rsidRDefault="00572709" w:rsidP="00572709">
      <w:pPr>
        <w:shd w:val="clear" w:color="auto" w:fill="FFFFFF"/>
        <w:spacing w:after="0" w:line="240" w:lineRule="auto"/>
        <w:rPr>
          <w:rFonts w:ascii="Segoe UI" w:eastAsia="Times New Roman" w:hAnsi="Segoe UI" w:cs="Segoe UI"/>
          <w:kern w:val="0"/>
          <w:sz w:val="27"/>
          <w:szCs w:val="27"/>
          <w14:ligatures w14:val="none"/>
        </w:rPr>
      </w:pPr>
      <w:r w:rsidRPr="00572709">
        <w:rPr>
          <w:rFonts w:ascii="Segoe UI" w:eastAsia="Times New Roman" w:hAnsi="Segoe UI" w:cs="Segoe UI"/>
          <w:kern w:val="0"/>
          <w:sz w:val="27"/>
          <w:szCs w:val="27"/>
          <w14:ligatures w14:val="none"/>
        </w:rPr>
        <w:fldChar w:fldCharType="end"/>
      </w:r>
    </w:p>
    <w:p w14:paraId="7F307FB8" w14:textId="77777777" w:rsidR="00572709" w:rsidRPr="00572709" w:rsidRDefault="00572709" w:rsidP="00572709">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6" w:history="1">
        <w:r w:rsidRPr="00572709">
          <w:rPr>
            <w:rFonts w:ascii="inherit" w:eastAsia="Times New Roman" w:hAnsi="inherit" w:cs="Segoe UI"/>
            <w:color w:val="0000FF"/>
            <w:kern w:val="0"/>
            <w:sz w:val="21"/>
            <w:szCs w:val="21"/>
            <w14:ligatures w14:val="none"/>
          </w:rPr>
          <w:t>Jung-Hua Liu</w:t>
        </w:r>
      </w:hyperlink>
    </w:p>
    <w:p w14:paraId="02A0BCDE" w14:textId="77777777" w:rsidR="00572709" w:rsidRPr="00572709" w:rsidRDefault="00572709" w:rsidP="00572709">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572709">
        <w:rPr>
          <w:rFonts w:ascii="Helvetica Neue" w:eastAsia="Times New Roman" w:hAnsi="Helvetica Neue" w:cs="Segoe UI"/>
          <w:color w:val="242424"/>
          <w:kern w:val="0"/>
          <w:sz w:val="21"/>
          <w:szCs w:val="21"/>
          <w14:ligatures w14:val="none"/>
        </w:rPr>
        <w:t>Follow</w:t>
      </w:r>
    </w:p>
    <w:p w14:paraId="6B7A5043" w14:textId="77777777" w:rsidR="00572709" w:rsidRPr="00572709" w:rsidRDefault="00572709" w:rsidP="0057270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572709">
        <w:rPr>
          <w:rFonts w:ascii="Helvetica Neue" w:eastAsia="Times New Roman" w:hAnsi="Helvetica Neue" w:cs="Segoe UI"/>
          <w:color w:val="6B6B6B"/>
          <w:kern w:val="0"/>
          <w:sz w:val="21"/>
          <w:szCs w:val="21"/>
          <w14:ligatures w14:val="none"/>
        </w:rPr>
        <w:t>31 min read</w:t>
      </w:r>
    </w:p>
    <w:p w14:paraId="4E65FC59" w14:textId="77777777" w:rsidR="00572709" w:rsidRPr="00572709" w:rsidRDefault="00572709" w:rsidP="0057270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572709">
        <w:rPr>
          <w:rFonts w:ascii="Helvetica Neue" w:eastAsia="Times New Roman" w:hAnsi="Helvetica Neue" w:cs="Segoe UI"/>
          <w:color w:val="6B6B6B"/>
          <w:kern w:val="0"/>
          <w:sz w:val="21"/>
          <w:szCs w:val="21"/>
          <w14:ligatures w14:val="none"/>
        </w:rPr>
        <w:t>·</w:t>
      </w:r>
    </w:p>
    <w:p w14:paraId="398EC337" w14:textId="77777777" w:rsidR="00572709" w:rsidRPr="00572709" w:rsidRDefault="00572709" w:rsidP="0057270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572709">
        <w:rPr>
          <w:rFonts w:ascii="Helvetica Neue" w:eastAsia="Times New Roman" w:hAnsi="Helvetica Neue" w:cs="Segoe UI"/>
          <w:color w:val="6B6B6B"/>
          <w:kern w:val="0"/>
          <w:sz w:val="21"/>
          <w:szCs w:val="21"/>
          <w14:ligatures w14:val="none"/>
        </w:rPr>
        <w:t>Jul 5, 2026</w:t>
      </w:r>
    </w:p>
    <w:p w14:paraId="34E3E980" w14:textId="77777777" w:rsidR="00572709" w:rsidRPr="00572709" w:rsidRDefault="00572709" w:rsidP="00572709">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572709">
        <w:rPr>
          <w:rFonts w:ascii="Helvetica Neue" w:eastAsia="Times New Roman" w:hAnsi="Helvetica Neue" w:cs="Segoe UI"/>
          <w:color w:val="6B6B6B"/>
          <w:kern w:val="0"/>
          <w:sz w:val="20"/>
          <w:szCs w:val="20"/>
          <w14:ligatures w14:val="none"/>
        </w:rPr>
        <w:t>51</w:t>
      </w:r>
    </w:p>
    <w:p w14:paraId="2681A925"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Abstract</w:t>
      </w:r>
    </w:p>
    <w:p w14:paraId="5742BB85"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Contemporary knowledge-graph platforms and decentralized (blockchain) storage networks are usually studied in isolation: the former by the semantic-web and artificial-intelligence communities, the latter by the distributed-systems and cryptography communities. This article bridges the two. Taking as its point of departure a concrete industry description of a knowledge-graph and </w:t>
      </w:r>
      <w:r w:rsidRPr="00572709">
        <w:rPr>
          <w:rFonts w:ascii="Georgia" w:eastAsia="Times New Roman" w:hAnsi="Georgia" w:cs="Times New Roman"/>
          <w:i/>
          <w:i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(Graph Retrieval-Augmented Generation) platform, we extract every abbreviation the text contains — RAG, GraphRAG, RDF, SPARQL, OWL, SKOS, LLM, BPMN, BBO, AI, and the implicit KG — define each precisely against its originating standard or seminal publication, and then, adding the closely related family of decentralized-storage abbreviations (DLT, IPFS, CID, CAS, DHT, P2P, DAG, PoRep, PoSt, DSN, EC, FIL, URI/IRI, JSON-LD, SHACL, ACL, SLA, API), show how the full set composes into a coherent reference architecture for a </w:t>
      </w:r>
      <w:r w:rsidRPr="00572709">
        <w:rPr>
          <w:rFonts w:ascii="Georgia" w:eastAsia="Times New Roman" w:hAnsi="Georgia" w:cs="Times New Roman"/>
          <w:i/>
          <w:iCs/>
          <w:color w:val="242424"/>
          <w:spacing w:val="-1"/>
          <w:kern w:val="0"/>
          <w:sz w:val="30"/>
          <w:szCs w:val="30"/>
          <w14:ligatures w14:val="none"/>
        </w:rPr>
        <w:t>blockchain storage service</w:t>
      </w:r>
      <w:r w:rsidRPr="00572709">
        <w:rPr>
          <w:rFonts w:ascii="Georgia" w:eastAsia="Times New Roman" w:hAnsi="Georgia" w:cs="Times New Roman"/>
          <w:color w:val="242424"/>
          <w:spacing w:val="-1"/>
          <w:kern w:val="0"/>
          <w:sz w:val="30"/>
          <w:szCs w:val="30"/>
          <w14:ligatures w14:val="none"/>
        </w:rPr>
        <w:t>. Our central claim is that the semantic-web abbreviations supply the </w:t>
      </w:r>
      <w:r w:rsidRPr="00572709">
        <w:rPr>
          <w:rFonts w:ascii="Georgia" w:eastAsia="Times New Roman" w:hAnsi="Georgia" w:cs="Times New Roman"/>
          <w:b/>
          <w:bCs/>
          <w:color w:val="242424"/>
          <w:spacing w:val="-1"/>
          <w:kern w:val="0"/>
          <w:sz w:val="30"/>
          <w:szCs w:val="30"/>
          <w14:ligatures w14:val="none"/>
        </w:rPr>
        <w:t>metadata, indexing, validation, and query</w:t>
      </w:r>
      <w:r w:rsidRPr="00572709">
        <w:rPr>
          <w:rFonts w:ascii="Georgia" w:eastAsia="Times New Roman" w:hAnsi="Georgia" w:cs="Times New Roman"/>
          <w:color w:val="242424"/>
          <w:spacing w:val="-1"/>
          <w:kern w:val="0"/>
          <w:sz w:val="30"/>
          <w:szCs w:val="30"/>
          <w14:ligatures w14:val="none"/>
        </w:rPr>
        <w:t> layer; the AI/retrieval abbreviations supply the </w:t>
      </w:r>
      <w:r w:rsidRPr="00572709">
        <w:rPr>
          <w:rFonts w:ascii="Georgia" w:eastAsia="Times New Roman" w:hAnsi="Georgia" w:cs="Times New Roman"/>
          <w:b/>
          <w:bCs/>
          <w:color w:val="242424"/>
          <w:spacing w:val="-1"/>
          <w:kern w:val="0"/>
          <w:sz w:val="30"/>
          <w:szCs w:val="30"/>
          <w14:ligatures w14:val="none"/>
        </w:rPr>
        <w:t>retrieval, reasoning, and agentic-orchestration</w:t>
      </w:r>
      <w:r w:rsidRPr="00572709">
        <w:rPr>
          <w:rFonts w:ascii="Georgia" w:eastAsia="Times New Roman" w:hAnsi="Georgia" w:cs="Times New Roman"/>
          <w:color w:val="242424"/>
          <w:spacing w:val="-1"/>
          <w:kern w:val="0"/>
          <w:sz w:val="30"/>
          <w:szCs w:val="30"/>
          <w14:ligatures w14:val="none"/>
        </w:rPr>
        <w:t> layer; the workflow abbreviations supply the </w:t>
      </w:r>
      <w:r w:rsidRPr="00572709">
        <w:rPr>
          <w:rFonts w:ascii="Georgia" w:eastAsia="Times New Roman" w:hAnsi="Georgia" w:cs="Times New Roman"/>
          <w:b/>
          <w:bCs/>
          <w:color w:val="242424"/>
          <w:spacing w:val="-1"/>
          <w:kern w:val="0"/>
          <w:sz w:val="30"/>
          <w:szCs w:val="30"/>
          <w14:ligatures w14:val="none"/>
        </w:rPr>
        <w:t>process and lifecycle</w:t>
      </w:r>
      <w:r w:rsidRPr="00572709">
        <w:rPr>
          <w:rFonts w:ascii="Georgia" w:eastAsia="Times New Roman" w:hAnsi="Georgia" w:cs="Times New Roman"/>
          <w:color w:val="242424"/>
          <w:spacing w:val="-1"/>
          <w:kern w:val="0"/>
          <w:sz w:val="30"/>
          <w:szCs w:val="30"/>
          <w14:ligatures w14:val="none"/>
        </w:rPr>
        <w:t> layer; and the decentralized-storage abbreviations supply the </w:t>
      </w:r>
      <w:r w:rsidRPr="00572709">
        <w:rPr>
          <w:rFonts w:ascii="Georgia" w:eastAsia="Times New Roman" w:hAnsi="Georgia" w:cs="Times New Roman"/>
          <w:b/>
          <w:bCs/>
          <w:color w:val="242424"/>
          <w:spacing w:val="-1"/>
          <w:kern w:val="0"/>
          <w:sz w:val="30"/>
          <w:szCs w:val="30"/>
          <w14:ligatures w14:val="none"/>
        </w:rPr>
        <w:t>verifiable content substrate</w:t>
      </w:r>
      <w:r w:rsidRPr="00572709">
        <w:rPr>
          <w:rFonts w:ascii="Georgia" w:eastAsia="Times New Roman" w:hAnsi="Georgia" w:cs="Times New Roman"/>
          <w:color w:val="242424"/>
          <w:spacing w:val="-1"/>
          <w:kern w:val="0"/>
          <w:sz w:val="30"/>
          <w:szCs w:val="30"/>
          <w14:ligatures w14:val="none"/>
        </w:rPr>
        <w:t> — and that, assembled, they yield a storage service that is content-addressed and cryptographically verifiable at the bottom, semantically discoverable and validatable in the middle, and autonomously operable by tool-using agents at the top. We present a master glossary, a four-layer architecture, an end-to-end data-flow for a store-and-retrieve operation that exercises every abbreviation, and a discussion of benefits and open challenges. The article is a synthesis and reference-architecture contribution; every standard and publication it cites was verified against its primary source during preparation.</w:t>
      </w:r>
    </w:p>
    <w:p w14:paraId="3620B74E"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Keywords:</w:t>
      </w:r>
      <w:r w:rsidRPr="00572709">
        <w:rPr>
          <w:rFonts w:ascii="Georgia" w:eastAsia="Times New Roman" w:hAnsi="Georgia" w:cs="Times New Roman"/>
          <w:color w:val="242424"/>
          <w:spacing w:val="-1"/>
          <w:kern w:val="0"/>
          <w:sz w:val="30"/>
          <w:szCs w:val="30"/>
          <w14:ligatures w14:val="none"/>
        </w:rPr>
        <w:t> knowledge graphs; GraphRAG; RDF; SPARQL; decentralized storage; IPFS; Filecoin; content addressing; agentic AI; blockchain; Palantir Foundry Ontology</w:t>
      </w:r>
    </w:p>
    <w:p w14:paraId="20250AF2"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1. Introduction</w:t>
      </w:r>
    </w:p>
    <w:p w14:paraId="4821B710"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Two streams of computing infrastructure have matured in parallel over the last decade, largely without talking to one another. The first is the </w:t>
      </w:r>
      <w:r w:rsidRPr="00572709">
        <w:rPr>
          <w:rFonts w:ascii="Georgia" w:eastAsia="Times New Roman" w:hAnsi="Georgia" w:cs="Times New Roman"/>
          <w:b/>
          <w:bCs/>
          <w:color w:val="242424"/>
          <w:spacing w:val="-1"/>
          <w:kern w:val="0"/>
          <w:sz w:val="30"/>
          <w:szCs w:val="30"/>
          <w14:ligatures w14:val="none"/>
        </w:rPr>
        <w:t>semantic web and knowledge-graph</w:t>
      </w:r>
      <w:r w:rsidRPr="00572709">
        <w:rPr>
          <w:rFonts w:ascii="Georgia" w:eastAsia="Times New Roman" w:hAnsi="Georgia" w:cs="Times New Roman"/>
          <w:color w:val="242424"/>
          <w:spacing w:val="-1"/>
          <w:kern w:val="0"/>
          <w:sz w:val="30"/>
          <w:szCs w:val="30"/>
          <w14:ligatures w14:val="none"/>
        </w:rPr>
        <w:t> stack — a family of World Wide Web Consortium (W3C) standards for representing, validating, and querying machine-readable facts — now supercharged by large language models and </w:t>
      </w:r>
      <w:r w:rsidRPr="00572709">
        <w:rPr>
          <w:rFonts w:ascii="Georgia" w:eastAsia="Times New Roman" w:hAnsi="Georgia" w:cs="Times New Roman"/>
          <w:i/>
          <w:iCs/>
          <w:color w:val="242424"/>
          <w:spacing w:val="-1"/>
          <w:kern w:val="0"/>
          <w:sz w:val="30"/>
          <w:szCs w:val="30"/>
          <w14:ligatures w14:val="none"/>
        </w:rPr>
        <w:t>Retrieval-Augmented Generation</w:t>
      </w:r>
      <w:r w:rsidRPr="00572709">
        <w:rPr>
          <w:rFonts w:ascii="Georgia" w:eastAsia="Times New Roman" w:hAnsi="Georgia" w:cs="Times New Roman"/>
          <w:color w:val="242424"/>
          <w:spacing w:val="-1"/>
          <w:kern w:val="0"/>
          <w:sz w:val="30"/>
          <w:szCs w:val="30"/>
          <w14:ligatures w14:val="none"/>
        </w:rPr>
        <w:t>. The second is </w:t>
      </w:r>
      <w:r w:rsidRPr="00572709">
        <w:rPr>
          <w:rFonts w:ascii="Georgia" w:eastAsia="Times New Roman" w:hAnsi="Georgia" w:cs="Times New Roman"/>
          <w:b/>
          <w:bCs/>
          <w:color w:val="242424"/>
          <w:spacing w:val="-1"/>
          <w:kern w:val="0"/>
          <w:sz w:val="30"/>
          <w:szCs w:val="30"/>
          <w14:ligatures w14:val="none"/>
        </w:rPr>
        <w:t>decentralized storage</w:t>
      </w:r>
      <w:r w:rsidRPr="00572709">
        <w:rPr>
          <w:rFonts w:ascii="Georgia" w:eastAsia="Times New Roman" w:hAnsi="Georgia" w:cs="Times New Roman"/>
          <w:color w:val="242424"/>
          <w:spacing w:val="-1"/>
          <w:kern w:val="0"/>
          <w:sz w:val="30"/>
          <w:szCs w:val="30"/>
          <w14:ligatures w14:val="none"/>
        </w:rPr>
        <w:t> — content-addressed, peer-to-peer, cryptographically verifiable file systems and their blockchain-based incentive layers, of which the InterPlanetary File System and Filecoin are the best-known exemplars. The first stream answers the question </w:t>
      </w:r>
      <w:r w:rsidRPr="00572709">
        <w:rPr>
          <w:rFonts w:ascii="Georgia" w:eastAsia="Times New Roman" w:hAnsi="Georgia" w:cs="Times New Roman"/>
          <w:i/>
          <w:iCs/>
          <w:color w:val="242424"/>
          <w:spacing w:val="-1"/>
          <w:kern w:val="0"/>
          <w:sz w:val="30"/>
          <w:szCs w:val="30"/>
          <w14:ligatures w14:val="none"/>
        </w:rPr>
        <w:t>“what does this data mean and how do I find it?”</w:t>
      </w:r>
      <w:r w:rsidRPr="00572709">
        <w:rPr>
          <w:rFonts w:ascii="Georgia" w:eastAsia="Times New Roman" w:hAnsi="Georgia" w:cs="Times New Roman"/>
          <w:color w:val="242424"/>
          <w:spacing w:val="-1"/>
          <w:kern w:val="0"/>
          <w:sz w:val="30"/>
          <w:szCs w:val="30"/>
          <w14:ligatures w14:val="none"/>
        </w:rPr>
        <w:t>; the second answers </w:t>
      </w:r>
      <w:r w:rsidRPr="00572709">
        <w:rPr>
          <w:rFonts w:ascii="Georgia" w:eastAsia="Times New Roman" w:hAnsi="Georgia" w:cs="Times New Roman"/>
          <w:i/>
          <w:iCs/>
          <w:color w:val="242424"/>
          <w:spacing w:val="-1"/>
          <w:kern w:val="0"/>
          <w:sz w:val="30"/>
          <w:szCs w:val="30"/>
          <w14:ligatures w14:val="none"/>
        </w:rPr>
        <w:t>“where is this data, who is really storing it, and how do I trust that?”</w:t>
      </w:r>
      <w:r w:rsidRPr="00572709">
        <w:rPr>
          <w:rFonts w:ascii="Georgia" w:eastAsia="Times New Roman" w:hAnsi="Georgia" w:cs="Times New Roman"/>
          <w:color w:val="242424"/>
          <w:spacing w:val="-1"/>
          <w:kern w:val="0"/>
          <w:sz w:val="30"/>
          <w:szCs w:val="30"/>
          <w14:ligatures w14:val="none"/>
        </w:rPr>
        <w:t> A storage service that answered both questions at once — verifiable at the byte level </w:t>
      </w:r>
      <w:r w:rsidRPr="00572709">
        <w:rPr>
          <w:rFonts w:ascii="Georgia" w:eastAsia="Times New Roman" w:hAnsi="Georgia" w:cs="Times New Roman"/>
          <w:i/>
          <w:iCs/>
          <w:color w:val="242424"/>
          <w:spacing w:val="-1"/>
          <w:kern w:val="0"/>
          <w:sz w:val="30"/>
          <w:szCs w:val="30"/>
          <w14:ligatures w14:val="none"/>
        </w:rPr>
        <w:t>and</w:t>
      </w:r>
      <w:r w:rsidRPr="00572709">
        <w:rPr>
          <w:rFonts w:ascii="Georgia" w:eastAsia="Times New Roman" w:hAnsi="Georgia" w:cs="Times New Roman"/>
          <w:color w:val="242424"/>
          <w:spacing w:val="-1"/>
          <w:kern w:val="0"/>
          <w:sz w:val="30"/>
          <w:szCs w:val="30"/>
          <w14:ligatures w14:val="none"/>
        </w:rPr>
        <w:t> discoverable at the meaning level, and operable by autonomous software agents — would be more than the sum of its parts.</w:t>
      </w:r>
    </w:p>
    <w:p w14:paraId="5078AFC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occasion for this article is a concrete artefact from the first stream: an industry description of work on a knowledge-graph platform that “evolves GraphRAG methodologies,” builds “graph-native agent tooling” that retrieves “ontology schemas via SPARQL,” models “workflows in the graph” by “extending the BBO ontology” and “exploring transparent BPMN,” and lists among its requirements fluency with “RDF, SPARQL, ontologies (OWL/SKOS), and triplestores” and with “Retrieval-Augmented Generation, LLMs, embeddings, and agentic / tool-using AI patterns.” The text is dense with abbreviations, and each abbreviation names a real, standardised, and load-bearing piece of technology.</w:t>
      </w:r>
    </w:p>
    <w:p w14:paraId="40FC9D18"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This article does two things with that text. First, it </w:t>
      </w:r>
      <w:r w:rsidRPr="00572709">
        <w:rPr>
          <w:rFonts w:ascii="Georgia" w:eastAsia="Times New Roman" w:hAnsi="Georgia" w:cs="Times New Roman"/>
          <w:b/>
          <w:bCs/>
          <w:color w:val="242424"/>
          <w:spacing w:val="-1"/>
          <w:kern w:val="0"/>
          <w:sz w:val="30"/>
          <w:szCs w:val="30"/>
          <w14:ligatures w14:val="none"/>
        </w:rPr>
        <w:t>introduces every abbreviation it contains</w:t>
      </w:r>
      <w:r w:rsidRPr="00572709">
        <w:rPr>
          <w:rFonts w:ascii="Georgia" w:eastAsia="Times New Roman" w:hAnsi="Georgia" w:cs="Times New Roman"/>
          <w:color w:val="242424"/>
          <w:spacing w:val="-1"/>
          <w:kern w:val="0"/>
          <w:sz w:val="30"/>
          <w:szCs w:val="30"/>
          <w14:ligatures w14:val="none"/>
        </w:rPr>
        <w:t>, defining each against its originating W3C Recommendation, standards body, or seminal peer-reviewed publication, so that the reader emerges with a precise, sourced vocabulary. Second — and this is the analytical contribution — it </w:t>
      </w:r>
      <w:r w:rsidRPr="00572709">
        <w:rPr>
          <w:rFonts w:ascii="Georgia" w:eastAsia="Times New Roman" w:hAnsi="Georgia" w:cs="Times New Roman"/>
          <w:b/>
          <w:bCs/>
          <w:color w:val="242424"/>
          <w:spacing w:val="-1"/>
          <w:kern w:val="0"/>
          <w:sz w:val="30"/>
          <w:szCs w:val="30"/>
          <w14:ligatures w14:val="none"/>
        </w:rPr>
        <w:t>explains how those abbreviations, together with the closely related decentralized-storage abbreviations they naturally invite, compose to build a blockchain storage service.</w:t>
      </w:r>
      <w:r w:rsidRPr="00572709">
        <w:rPr>
          <w:rFonts w:ascii="Georgia" w:eastAsia="Times New Roman" w:hAnsi="Georgia" w:cs="Times New Roman"/>
          <w:color w:val="242424"/>
          <w:spacing w:val="-1"/>
          <w:kern w:val="0"/>
          <w:sz w:val="30"/>
          <w:szCs w:val="30"/>
          <w14:ligatures w14:val="none"/>
        </w:rPr>
        <w:t> The source text is not itself about blockchain storage; it is about knowledge graphs. Our thesis is that the very capabilities it describes are exactly the capabilities a next-generation decentralized storage service needs for its metadata, discovery, validation, and autonomous-operation layers, and that the marriage is natural rather than forced. We therefore present not a product but a </w:t>
      </w:r>
      <w:r w:rsidRPr="00572709">
        <w:rPr>
          <w:rFonts w:ascii="Georgia" w:eastAsia="Times New Roman" w:hAnsi="Georgia" w:cs="Times New Roman"/>
          <w:i/>
          <w:iCs/>
          <w:color w:val="242424"/>
          <w:spacing w:val="-1"/>
          <w:kern w:val="0"/>
          <w:sz w:val="30"/>
          <w:szCs w:val="30"/>
          <w14:ligatures w14:val="none"/>
        </w:rPr>
        <w:t>reference architecture</w:t>
      </w:r>
      <w:r w:rsidRPr="00572709">
        <w:rPr>
          <w:rFonts w:ascii="Georgia" w:eastAsia="Times New Roman" w:hAnsi="Georgia" w:cs="Times New Roman"/>
          <w:color w:val="242424"/>
          <w:spacing w:val="-1"/>
          <w:kern w:val="0"/>
          <w:sz w:val="30"/>
          <w:szCs w:val="30"/>
          <w14:ligatures w14:val="none"/>
        </w:rPr>
        <w:t>: a principled account of how each abbreviation earns its place in a semantically-indexed, agent-orchestrated blockchain storage service.</w:t>
      </w:r>
    </w:p>
    <w:p w14:paraId="36236ADA"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remainder of the article is organised as follows. Section 2 states scope and method. Section 3 introduces the semantic-web, retrieval, and workflow abbreviations drawn from the source text, defining each and giving its specific contribution to a storage service. Section 4 introduces the related decentralized-storage abbreviations that supply the verifiable substrate. Section 5 — the core synthesis — assembles them into a four-layer reference architecture and traces an end-to-end store-and-retrieve operation that exercises the entire vocabulary. Section 6 discusses benefits and open challenges. Section 7 situates the design in related work, and Section 8 concludes. A consolidated glossary appears as Table 1.</w:t>
      </w:r>
    </w:p>
    <w:p w14:paraId="07C6EB77"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2. Scope and Method</w:t>
      </w:r>
    </w:p>
    <w:p w14:paraId="7543E588"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Our method is deliberately simple and transparent. We (i) extracted every abbreviation appearing in the source text; (ii) expanded and defined each against a primary source — a W3C Recommendation, a standards-body specification, or a peer-reviewed or archival publication — recording the exact standard version and date; (iii) added the family of decentralized-storage abbreviations required to discuss a blockchain storage service, applying the same sourcing discipline; and (iv) synthesised the whole into a layered architecture, assigning each abbreviation a specific functional role.</w:t>
      </w:r>
    </w:p>
    <w:p w14:paraId="48C9802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Two scoping decisions follow the brief. First, the treatment is </w:t>
      </w:r>
      <w:r w:rsidRPr="00572709">
        <w:rPr>
          <w:rFonts w:ascii="Georgia" w:eastAsia="Times New Roman" w:hAnsi="Georgia" w:cs="Times New Roman"/>
          <w:i/>
          <w:iCs/>
          <w:color w:val="242424"/>
          <w:spacing w:val="-1"/>
          <w:kern w:val="0"/>
          <w:sz w:val="30"/>
          <w:szCs w:val="30"/>
          <w14:ligatures w14:val="none"/>
        </w:rPr>
        <w:t>“text plus related terms”</w:t>
      </w:r>
      <w:r w:rsidRPr="00572709">
        <w:rPr>
          <w:rFonts w:ascii="Georgia" w:eastAsia="Times New Roman" w:hAnsi="Georgia" w:cs="Times New Roman"/>
          <w:color w:val="242424"/>
          <w:spacing w:val="-1"/>
          <w:kern w:val="0"/>
          <w:sz w:val="30"/>
          <w:szCs w:val="30"/>
          <w14:ligatures w14:val="none"/>
        </w:rPr>
        <w:t>: we cover every abbreviation in the source text and add the standard decentralized-storage abbreviations needed to make the storage-service argument, but we do not wander into unrelated territory. Second, the article is a </w:t>
      </w:r>
      <w:r w:rsidRPr="00572709">
        <w:rPr>
          <w:rFonts w:ascii="Georgia" w:eastAsia="Times New Roman" w:hAnsi="Georgia" w:cs="Times New Roman"/>
          <w:b/>
          <w:bCs/>
          <w:color w:val="242424"/>
          <w:spacing w:val="-1"/>
          <w:kern w:val="0"/>
          <w:sz w:val="30"/>
          <w:szCs w:val="30"/>
          <w14:ligatures w14:val="none"/>
        </w:rPr>
        <w:t>synthesis and reference-architecture</w:t>
      </w:r>
      <w:r w:rsidRPr="00572709">
        <w:rPr>
          <w:rFonts w:ascii="Georgia" w:eastAsia="Times New Roman" w:hAnsi="Georgia" w:cs="Times New Roman"/>
          <w:color w:val="242424"/>
          <w:spacing w:val="-1"/>
          <w:kern w:val="0"/>
          <w:sz w:val="30"/>
          <w:szCs w:val="30"/>
          <w14:ligatures w14:val="none"/>
        </w:rPr>
        <w:t> contribution, not an empirical evaluation; its claims are about how the pieces fit, grounded in the documented behaviour of each standard, not about the measured performance of a built system. Where a term in the source text is a general technology rather than a formal abbreviation — </w:t>
      </w:r>
      <w:r w:rsidRPr="00572709">
        <w:rPr>
          <w:rFonts w:ascii="Georgia" w:eastAsia="Times New Roman" w:hAnsi="Georgia" w:cs="Times New Roman"/>
          <w:i/>
          <w:iCs/>
          <w:color w:val="242424"/>
          <w:spacing w:val="-1"/>
          <w:kern w:val="0"/>
          <w:sz w:val="30"/>
          <w:szCs w:val="30"/>
          <w14:ligatures w14:val="none"/>
        </w:rPr>
        <w:t>triplestore</w:t>
      </w:r>
      <w:r w:rsidRPr="00572709">
        <w:rPr>
          <w:rFonts w:ascii="Georgia" w:eastAsia="Times New Roman" w:hAnsi="Georgia" w:cs="Times New Roman"/>
          <w:color w:val="242424"/>
          <w:spacing w:val="-1"/>
          <w:kern w:val="0"/>
          <w:sz w:val="30"/>
          <w:szCs w:val="30"/>
          <w14:ligatures w14:val="none"/>
        </w:rPr>
        <w:t>, </w:t>
      </w:r>
      <w:r w:rsidRPr="00572709">
        <w:rPr>
          <w:rFonts w:ascii="Georgia" w:eastAsia="Times New Roman" w:hAnsi="Georgia" w:cs="Times New Roman"/>
          <w:i/>
          <w:iCs/>
          <w:color w:val="242424"/>
          <w:spacing w:val="-1"/>
          <w:kern w:val="0"/>
          <w:sz w:val="30"/>
          <w:szCs w:val="30"/>
          <w14:ligatures w14:val="none"/>
        </w:rPr>
        <w:t>ontology</w:t>
      </w:r>
      <w:r w:rsidRPr="00572709">
        <w:rPr>
          <w:rFonts w:ascii="Georgia" w:eastAsia="Times New Roman" w:hAnsi="Georgia" w:cs="Times New Roman"/>
          <w:color w:val="242424"/>
          <w:spacing w:val="-1"/>
          <w:kern w:val="0"/>
          <w:sz w:val="30"/>
          <w:szCs w:val="30"/>
          <w14:ligatures w14:val="none"/>
        </w:rPr>
        <w:t>, </w:t>
      </w:r>
      <w:r w:rsidRPr="00572709">
        <w:rPr>
          <w:rFonts w:ascii="Georgia" w:eastAsia="Times New Roman" w:hAnsi="Georgia" w:cs="Times New Roman"/>
          <w:i/>
          <w:iCs/>
          <w:color w:val="242424"/>
          <w:spacing w:val="-1"/>
          <w:kern w:val="0"/>
          <w:sz w:val="30"/>
          <w:szCs w:val="30"/>
          <w14:ligatures w14:val="none"/>
        </w:rPr>
        <w:t>embedding</w:t>
      </w:r>
      <w:r w:rsidRPr="00572709">
        <w:rPr>
          <w:rFonts w:ascii="Georgia" w:eastAsia="Times New Roman" w:hAnsi="Georgia" w:cs="Times New Roman"/>
          <w:color w:val="242424"/>
          <w:spacing w:val="-1"/>
          <w:kern w:val="0"/>
          <w:sz w:val="30"/>
          <w:szCs w:val="30"/>
          <w14:ligatures w14:val="none"/>
        </w:rPr>
        <w:t>, </w:t>
      </w:r>
      <w:r w:rsidRPr="00572709">
        <w:rPr>
          <w:rFonts w:ascii="Georgia" w:eastAsia="Times New Roman" w:hAnsi="Georgia" w:cs="Times New Roman"/>
          <w:i/>
          <w:iCs/>
          <w:color w:val="242424"/>
          <w:spacing w:val="-1"/>
          <w:kern w:val="0"/>
          <w:sz w:val="30"/>
          <w:szCs w:val="30"/>
          <w14:ligatures w14:val="none"/>
        </w:rPr>
        <w:t>Python</w:t>
      </w:r>
      <w:r w:rsidRPr="00572709">
        <w:rPr>
          <w:rFonts w:ascii="Georgia" w:eastAsia="Times New Roman" w:hAnsi="Georgia" w:cs="Times New Roman"/>
          <w:color w:val="242424"/>
          <w:spacing w:val="-1"/>
          <w:kern w:val="0"/>
          <w:sz w:val="30"/>
          <w:szCs w:val="30"/>
          <w14:ligatures w14:val="none"/>
        </w:rPr>
        <w:t> — we treat it as supporting vocabulary and define it in passing rather than as a headline entry.</w:t>
      </w:r>
    </w:p>
    <w:p w14:paraId="75471C3B"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 The Semantic, Retrieval, and Workflow Abbreviations</w:t>
      </w:r>
    </w:p>
    <w:p w14:paraId="4412F420"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We group the source-text abbreviations into three families: the semantic-web data and query standards (RDF, URI/IRI, SPARQL, OWL, SKOS, and the closely allied SHACL and JSON-LD); the knowledge-graph and AI-retrieval concepts (KG, LLM, RAG, GraphRAG, AI); and the workflow and process standards (BPMN, BBO). For each we give a sourced definition and then, in a dedicated paragraph, its contribution to a blockchain storage service.</w:t>
      </w:r>
    </w:p>
    <w:p w14:paraId="262C50A9"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3.1 RDF — Resource Description Framework</w:t>
      </w:r>
    </w:p>
    <w:p w14:paraId="0D1F1F7E"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RDF, the Resource Description Framework, is the W3C’s foundational data model for the semantic web; RDF 1.1 became a W3C Recommendation on 25 February 2014 (W3C, 2014). Its atom is the </w:t>
      </w:r>
      <w:r w:rsidRPr="00572709">
        <w:rPr>
          <w:rFonts w:ascii="Georgia" w:eastAsia="Times New Roman" w:hAnsi="Georgia" w:cs="Times New Roman"/>
          <w:i/>
          <w:iCs/>
          <w:color w:val="242424"/>
          <w:spacing w:val="-1"/>
          <w:kern w:val="0"/>
          <w:sz w:val="30"/>
          <w:szCs w:val="30"/>
          <w14:ligatures w14:val="none"/>
        </w:rPr>
        <w:t>triple</w:t>
      </w:r>
      <w:r w:rsidRPr="00572709">
        <w:rPr>
          <w:rFonts w:ascii="Georgia" w:eastAsia="Times New Roman" w:hAnsi="Georgia" w:cs="Times New Roman"/>
          <w:color w:val="242424"/>
          <w:spacing w:val="-1"/>
          <w:kern w:val="0"/>
          <w:sz w:val="30"/>
          <w:szCs w:val="30"/>
          <w14:ligatures w14:val="none"/>
        </w:rPr>
        <w:t>: a statement of the form </w:t>
      </w:r>
      <w:r w:rsidRPr="00572709">
        <w:rPr>
          <w:rFonts w:ascii="Georgia" w:eastAsia="Times New Roman" w:hAnsi="Georgia" w:cs="Times New Roman"/>
          <w:i/>
          <w:iCs/>
          <w:color w:val="242424"/>
          <w:spacing w:val="-1"/>
          <w:kern w:val="0"/>
          <w:sz w:val="30"/>
          <w:szCs w:val="30"/>
          <w14:ligatures w14:val="none"/>
        </w:rPr>
        <w:t>subject–predicate–object</w:t>
      </w:r>
      <w:r w:rsidRPr="00572709">
        <w:rPr>
          <w:rFonts w:ascii="Georgia" w:eastAsia="Times New Roman" w:hAnsi="Georgia" w:cs="Times New Roman"/>
          <w:color w:val="242424"/>
          <w:spacing w:val="-1"/>
          <w:kern w:val="0"/>
          <w:sz w:val="30"/>
          <w:szCs w:val="30"/>
          <w14:ligatures w14:val="none"/>
        </w:rPr>
        <w:t> (for example, </w:t>
      </w:r>
      <w:r w:rsidRPr="00572709">
        <w:rPr>
          <w:rFonts w:ascii="Georgia" w:eastAsia="Times New Roman" w:hAnsi="Georgia" w:cs="Times New Roman"/>
          <w:i/>
          <w:iCs/>
          <w:color w:val="242424"/>
          <w:spacing w:val="-1"/>
          <w:kern w:val="0"/>
          <w:sz w:val="30"/>
          <w:szCs w:val="30"/>
          <w14:ligatures w14:val="none"/>
        </w:rPr>
        <w:t>fileX–hasAuthor–Alice</w:t>
      </w:r>
      <w:r w:rsidRPr="00572709">
        <w:rPr>
          <w:rFonts w:ascii="Georgia" w:eastAsia="Times New Roman" w:hAnsi="Georgia" w:cs="Times New Roman"/>
          <w:color w:val="242424"/>
          <w:spacing w:val="-1"/>
          <w:kern w:val="0"/>
          <w:sz w:val="30"/>
          <w:szCs w:val="30"/>
          <w14:ligatures w14:val="none"/>
        </w:rPr>
        <w:t>). A set of triples forms a directed, labelled graph. Resources are named globally by URIs/IRIs (Uniform/Internationalised Resource Identifiers), which makes RDF statements composable across systems and datasets. A </w:t>
      </w:r>
      <w:r w:rsidRPr="00572709">
        <w:rPr>
          <w:rFonts w:ascii="Georgia" w:eastAsia="Times New Roman" w:hAnsi="Georgia" w:cs="Times New Roman"/>
          <w:i/>
          <w:iCs/>
          <w:color w:val="242424"/>
          <w:spacing w:val="-1"/>
          <w:kern w:val="0"/>
          <w:sz w:val="30"/>
          <w:szCs w:val="30"/>
          <w14:ligatures w14:val="none"/>
        </w:rPr>
        <w:t>triplestore</w:t>
      </w:r>
      <w:r w:rsidRPr="00572709">
        <w:rPr>
          <w:rFonts w:ascii="Georgia" w:eastAsia="Times New Roman" w:hAnsi="Georgia" w:cs="Times New Roman"/>
          <w:color w:val="242424"/>
          <w:spacing w:val="-1"/>
          <w:kern w:val="0"/>
          <w:sz w:val="30"/>
          <w:szCs w:val="30"/>
          <w14:ligatures w14:val="none"/>
        </w:rPr>
        <w:t> is a database specialised for storing and querying RDF triples.</w:t>
      </w:r>
    </w:p>
    <w:p w14:paraId="7E07CBCF"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RDF is the natural language for a storage service’s </w:t>
      </w:r>
      <w:r w:rsidRPr="00572709">
        <w:rPr>
          <w:rFonts w:ascii="Georgia" w:eastAsia="Times New Roman" w:hAnsi="Georgia" w:cs="Times New Roman"/>
          <w:b/>
          <w:bCs/>
          <w:color w:val="242424"/>
          <w:spacing w:val="-1"/>
          <w:kern w:val="0"/>
          <w:sz w:val="30"/>
          <w:szCs w:val="30"/>
          <w14:ligatures w14:val="none"/>
        </w:rPr>
        <w:t>metadata layer</w:t>
      </w:r>
      <w:r w:rsidRPr="00572709">
        <w:rPr>
          <w:rFonts w:ascii="Georgia" w:eastAsia="Times New Roman" w:hAnsi="Georgia" w:cs="Times New Roman"/>
          <w:color w:val="242424"/>
          <w:spacing w:val="-1"/>
          <w:kern w:val="0"/>
          <w:sz w:val="30"/>
          <w:szCs w:val="30"/>
          <w14:ligatures w14:val="none"/>
        </w:rPr>
        <w:t>. Every stored object in a decentralized storage network is identified by a content identifier (Section 4); RDF lets the service describe that object — its author, provenance, licence, schema, replication policy, retention deadline, and relationships to other objects — as triples in a knowledge graph whose subjects are the content identifiers themselves. Because RDF is a graph, these descriptions interlink naturally: a dataset triple can point to its schema, its derivation, and the agents permitted to read it, turning an opaque bag of bytes into a richly described, navigable asset. RDF thus converts </w:t>
      </w:r>
      <w:r w:rsidRPr="00572709">
        <w:rPr>
          <w:rFonts w:ascii="Georgia" w:eastAsia="Times New Roman" w:hAnsi="Georgia" w:cs="Times New Roman"/>
          <w:i/>
          <w:iCs/>
          <w:color w:val="242424"/>
          <w:spacing w:val="-1"/>
          <w:kern w:val="0"/>
          <w:sz w:val="30"/>
          <w:szCs w:val="30"/>
          <w14:ligatures w14:val="none"/>
        </w:rPr>
        <w:t>content-addressed storage</w:t>
      </w:r>
      <w:r w:rsidRPr="00572709">
        <w:rPr>
          <w:rFonts w:ascii="Georgia" w:eastAsia="Times New Roman" w:hAnsi="Georgia" w:cs="Times New Roman"/>
          <w:color w:val="242424"/>
          <w:spacing w:val="-1"/>
          <w:kern w:val="0"/>
          <w:sz w:val="30"/>
          <w:szCs w:val="30"/>
          <w14:ligatures w14:val="none"/>
        </w:rPr>
        <w:t> into </w:t>
      </w:r>
      <w:r w:rsidRPr="00572709">
        <w:rPr>
          <w:rFonts w:ascii="Georgia" w:eastAsia="Times New Roman" w:hAnsi="Georgia" w:cs="Times New Roman"/>
          <w:i/>
          <w:iCs/>
          <w:color w:val="242424"/>
          <w:spacing w:val="-1"/>
          <w:kern w:val="0"/>
          <w:sz w:val="30"/>
          <w:szCs w:val="30"/>
          <w14:ligatures w14:val="none"/>
        </w:rPr>
        <w:t>semantically-addressed storage</w:t>
      </w:r>
      <w:r w:rsidRPr="00572709">
        <w:rPr>
          <w:rFonts w:ascii="Georgia" w:eastAsia="Times New Roman" w:hAnsi="Georgia" w:cs="Times New Roman"/>
          <w:color w:val="242424"/>
          <w:spacing w:val="-1"/>
          <w:kern w:val="0"/>
          <w:sz w:val="30"/>
          <w:szCs w:val="30"/>
          <w14:ligatures w14:val="none"/>
        </w:rPr>
        <w:t>.</w:t>
      </w:r>
    </w:p>
    <w:p w14:paraId="0C22B665"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3.2 SPARQL — SPARQL Protocol and RDF Query Language</w:t>
      </w:r>
    </w:p>
    <w:p w14:paraId="2ABBED46"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SPARQL (a recursive acronym for </w:t>
      </w:r>
      <w:r w:rsidRPr="00572709">
        <w:rPr>
          <w:rFonts w:ascii="Georgia" w:eastAsia="Times New Roman" w:hAnsi="Georgia" w:cs="Times New Roman"/>
          <w:i/>
          <w:iCs/>
          <w:color w:val="242424"/>
          <w:spacing w:val="-1"/>
          <w:kern w:val="0"/>
          <w:sz w:val="30"/>
          <w:szCs w:val="30"/>
          <w14:ligatures w14:val="none"/>
        </w:rPr>
        <w:t>SPARQL Protocol and RDF Query Language</w:t>
      </w:r>
      <w:r w:rsidRPr="00572709">
        <w:rPr>
          <w:rFonts w:ascii="Georgia" w:eastAsia="Times New Roman" w:hAnsi="Georgia" w:cs="Times New Roman"/>
          <w:color w:val="242424"/>
          <w:spacing w:val="-1"/>
          <w:kern w:val="0"/>
          <w:sz w:val="30"/>
          <w:szCs w:val="30"/>
          <w14:ligatures w14:val="none"/>
        </w:rPr>
        <w:t>) is the standard query language for RDF; the SPARQL 1.1 suite became a W3C Recommendation on 21 March 2013 (W3C, 2013). SPARQL expresses graph-pattern queries — “find all objects matching this shape of triples” — and supports federation across endpoints, updates, and (in 1.1) aggregation and property paths for traversal.</w:t>
      </w:r>
    </w:p>
    <w:p w14:paraId="068A733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SPARQL is the service’s </w:t>
      </w:r>
      <w:r w:rsidRPr="00572709">
        <w:rPr>
          <w:rFonts w:ascii="Georgia" w:eastAsia="Times New Roman" w:hAnsi="Georgia" w:cs="Times New Roman"/>
          <w:b/>
          <w:bCs/>
          <w:color w:val="242424"/>
          <w:spacing w:val="-1"/>
          <w:kern w:val="0"/>
          <w:sz w:val="30"/>
          <w:szCs w:val="30"/>
          <w14:ligatures w14:val="none"/>
        </w:rPr>
        <w:t>query and discovery interface</w:t>
      </w:r>
      <w:r w:rsidRPr="00572709">
        <w:rPr>
          <w:rFonts w:ascii="Georgia" w:eastAsia="Times New Roman" w:hAnsi="Georgia" w:cs="Times New Roman"/>
          <w:color w:val="242424"/>
          <w:spacing w:val="-1"/>
          <w:kern w:val="0"/>
          <w:sz w:val="30"/>
          <w:szCs w:val="30"/>
          <w14:ligatures w14:val="none"/>
        </w:rPr>
        <w:t> over the metadata graph. Where a bare decentralized storage network can only answer “give me the bytes at this content identifier,” a SPARQL endpoint over the metadata graph can answer “list every dataset authored by Alice, licensed for commercial use, replicated in at least three regions, and derived from source S” — and return the corresponding content identifiers for retrieval. The source text’s emphasis on “executing custom SPARQL” and “retrieving ontology schemas via SPARQL” maps directly onto a storage service in which SPARQL is the lingua franca for locating, filtering, and governing stored content by meaning rather than by hash alone.</w:t>
      </w:r>
    </w:p>
    <w:p w14:paraId="0871F3B3"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3.3 OWL and SKOS — the ontology languages (with SHACL and JSON-LD)</w:t>
      </w:r>
    </w:p>
    <w:p w14:paraId="169EC5CA"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Ontologies are the formal vocabularies that give a knowledge graph its shared meaning, and the source text names two W3C standards for them. </w:t>
      </w:r>
      <w:r w:rsidRPr="00572709">
        <w:rPr>
          <w:rFonts w:ascii="Georgia" w:eastAsia="Times New Roman" w:hAnsi="Georgia" w:cs="Times New Roman"/>
          <w:b/>
          <w:bCs/>
          <w:color w:val="242424"/>
          <w:spacing w:val="-1"/>
          <w:kern w:val="0"/>
          <w:sz w:val="30"/>
          <w:szCs w:val="30"/>
          <w14:ligatures w14:val="none"/>
        </w:rPr>
        <w:t>OWL</w:t>
      </w:r>
      <w:r w:rsidRPr="00572709">
        <w:rPr>
          <w:rFonts w:ascii="Georgia" w:eastAsia="Times New Roman" w:hAnsi="Georgia" w:cs="Times New Roman"/>
          <w:color w:val="242424"/>
          <w:spacing w:val="-1"/>
          <w:kern w:val="0"/>
          <w:sz w:val="30"/>
          <w:szCs w:val="30"/>
          <w14:ligatures w14:val="none"/>
        </w:rPr>
        <w:t>, the Web Ontology Language, is a logic-based language for defining classes, properties, and rich axioms (subclassing, cardinality, disjointness) that support automated inference; OWL 2 has been a W3C Recommendation since 2009, with a Second Edition in 2012 (W3C, 2012). </w:t>
      </w:r>
      <w:r w:rsidRPr="00572709">
        <w:rPr>
          <w:rFonts w:ascii="Georgia" w:eastAsia="Times New Roman" w:hAnsi="Georgia" w:cs="Times New Roman"/>
          <w:b/>
          <w:bCs/>
          <w:color w:val="242424"/>
          <w:spacing w:val="-1"/>
          <w:kern w:val="0"/>
          <w:sz w:val="30"/>
          <w:szCs w:val="30"/>
          <w14:ligatures w14:val="none"/>
        </w:rPr>
        <w:t>SKOS</w:t>
      </w:r>
      <w:r w:rsidRPr="00572709">
        <w:rPr>
          <w:rFonts w:ascii="Georgia" w:eastAsia="Times New Roman" w:hAnsi="Georgia" w:cs="Times New Roman"/>
          <w:color w:val="242424"/>
          <w:spacing w:val="-1"/>
          <w:kern w:val="0"/>
          <w:sz w:val="30"/>
          <w:szCs w:val="30"/>
          <w14:ligatures w14:val="none"/>
        </w:rPr>
        <w:t>, the Simple Knowledge Organization System, is a lighter-weight standard for representing thesauri, taxonomies, and controlled vocabularies as concepts with broader/narrower/related relations; SKOS became a W3C Recommendation on 18 August 2009 (W3C, 2009). Two closely allied standards complete the picture even though they are not named in the source text and so are introduced here as </w:t>
      </w:r>
      <w:r w:rsidRPr="00572709">
        <w:rPr>
          <w:rFonts w:ascii="Georgia" w:eastAsia="Times New Roman" w:hAnsi="Georgia" w:cs="Times New Roman"/>
          <w:i/>
          <w:iCs/>
          <w:color w:val="242424"/>
          <w:spacing w:val="-1"/>
          <w:kern w:val="0"/>
          <w:sz w:val="30"/>
          <w:szCs w:val="30"/>
          <w14:ligatures w14:val="none"/>
        </w:rPr>
        <w:t>related terms</w:t>
      </w:r>
      <w:r w:rsidRPr="00572709">
        <w:rPr>
          <w:rFonts w:ascii="Georgia" w:eastAsia="Times New Roman" w:hAnsi="Georgia" w:cs="Times New Roman"/>
          <w:color w:val="242424"/>
          <w:spacing w:val="-1"/>
          <w:kern w:val="0"/>
          <w:sz w:val="30"/>
          <w:szCs w:val="30"/>
          <w14:ligatures w14:val="none"/>
        </w:rPr>
        <w:t>: </w:t>
      </w:r>
      <w:r w:rsidRPr="00572709">
        <w:rPr>
          <w:rFonts w:ascii="Georgia" w:eastAsia="Times New Roman" w:hAnsi="Georgia" w:cs="Times New Roman"/>
          <w:b/>
          <w:bCs/>
          <w:color w:val="242424"/>
          <w:spacing w:val="-1"/>
          <w:kern w:val="0"/>
          <w:sz w:val="30"/>
          <w:szCs w:val="30"/>
          <w14:ligatures w14:val="none"/>
        </w:rPr>
        <w:t>SHACL</w:t>
      </w:r>
      <w:r w:rsidRPr="00572709">
        <w:rPr>
          <w:rFonts w:ascii="Georgia" w:eastAsia="Times New Roman" w:hAnsi="Georgia" w:cs="Times New Roman"/>
          <w:color w:val="242424"/>
          <w:spacing w:val="-1"/>
          <w:kern w:val="0"/>
          <w:sz w:val="30"/>
          <w:szCs w:val="30"/>
          <w14:ligatures w14:val="none"/>
        </w:rPr>
        <w:t>, the Shapes Constraint Language (W3C Recommendation, 20 July 2017), which validates RDF graphs against declared shapes (W3C, 2017); and </w:t>
      </w:r>
      <w:r w:rsidRPr="00572709">
        <w:rPr>
          <w:rFonts w:ascii="Georgia" w:eastAsia="Times New Roman" w:hAnsi="Georgia" w:cs="Times New Roman"/>
          <w:b/>
          <w:bCs/>
          <w:color w:val="242424"/>
          <w:spacing w:val="-1"/>
          <w:kern w:val="0"/>
          <w:sz w:val="30"/>
          <w:szCs w:val="30"/>
          <w14:ligatures w14:val="none"/>
        </w:rPr>
        <w:t>JSON-LD</w:t>
      </w:r>
      <w:r w:rsidRPr="00572709">
        <w:rPr>
          <w:rFonts w:ascii="Georgia" w:eastAsia="Times New Roman" w:hAnsi="Georgia" w:cs="Times New Roman"/>
          <w:color w:val="242424"/>
          <w:spacing w:val="-1"/>
          <w:kern w:val="0"/>
          <w:sz w:val="30"/>
          <w:szCs w:val="30"/>
          <w14:ligatures w14:val="none"/>
        </w:rPr>
        <w:t>, a JSON-based serialisation for linked data (JSON-LD 1.1, W3C Recommendation, 16 July 2020), which lets ordinary web and application developers emit RDF as familiar JSON (W3C, 2020).</w:t>
      </w:r>
    </w:p>
    <w:p w14:paraId="64168CDB"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Ontologies supply the service’s </w:t>
      </w:r>
      <w:r w:rsidRPr="00572709">
        <w:rPr>
          <w:rFonts w:ascii="Georgia" w:eastAsia="Times New Roman" w:hAnsi="Georgia" w:cs="Times New Roman"/>
          <w:b/>
          <w:bCs/>
          <w:color w:val="242424"/>
          <w:spacing w:val="-1"/>
          <w:kern w:val="0"/>
          <w:sz w:val="30"/>
          <w:szCs w:val="30"/>
          <w14:ligatures w14:val="none"/>
        </w:rPr>
        <w:t>shared schema and governance vocabulary</w:t>
      </w:r>
      <w:r w:rsidRPr="00572709">
        <w:rPr>
          <w:rFonts w:ascii="Georgia" w:eastAsia="Times New Roman" w:hAnsi="Georgia" w:cs="Times New Roman"/>
          <w:color w:val="242424"/>
          <w:spacing w:val="-1"/>
          <w:kern w:val="0"/>
          <w:sz w:val="30"/>
          <w:szCs w:val="30"/>
          <w14:ligatures w14:val="none"/>
        </w:rPr>
        <w:t>. OWL defines the classes and constraints of the storage domain — what a </w:t>
      </w:r>
      <w:r w:rsidRPr="00572709">
        <w:rPr>
          <w:rFonts w:ascii="Georgia" w:eastAsia="Times New Roman" w:hAnsi="Georgia" w:cs="Times New Roman"/>
          <w:i/>
          <w:iCs/>
          <w:color w:val="242424"/>
          <w:spacing w:val="-1"/>
          <w:kern w:val="0"/>
          <w:sz w:val="30"/>
          <w:szCs w:val="30"/>
          <w14:ligatures w14:val="none"/>
        </w:rPr>
        <w:t>Dataset</w:t>
      </w:r>
      <w:r w:rsidRPr="00572709">
        <w:rPr>
          <w:rFonts w:ascii="Georgia" w:eastAsia="Times New Roman" w:hAnsi="Georgia" w:cs="Times New Roman"/>
          <w:color w:val="242424"/>
          <w:spacing w:val="-1"/>
          <w:kern w:val="0"/>
          <w:sz w:val="30"/>
          <w:szCs w:val="30"/>
          <w14:ligatures w14:val="none"/>
        </w:rPr>
        <w:t>, a </w:t>
      </w:r>
      <w:r w:rsidRPr="00572709">
        <w:rPr>
          <w:rFonts w:ascii="Georgia" w:eastAsia="Times New Roman" w:hAnsi="Georgia" w:cs="Times New Roman"/>
          <w:i/>
          <w:iCs/>
          <w:color w:val="242424"/>
          <w:spacing w:val="-1"/>
          <w:kern w:val="0"/>
          <w:sz w:val="30"/>
          <w:szCs w:val="30"/>
          <w14:ligatures w14:val="none"/>
        </w:rPr>
        <w:t>Replica</w:t>
      </w:r>
      <w:r w:rsidRPr="00572709">
        <w:rPr>
          <w:rFonts w:ascii="Georgia" w:eastAsia="Times New Roman" w:hAnsi="Georgia" w:cs="Times New Roman"/>
          <w:color w:val="242424"/>
          <w:spacing w:val="-1"/>
          <w:kern w:val="0"/>
          <w:sz w:val="30"/>
          <w:szCs w:val="30"/>
          <w14:ligatures w14:val="none"/>
        </w:rPr>
        <w:t>, a </w:t>
      </w:r>
      <w:r w:rsidRPr="00572709">
        <w:rPr>
          <w:rFonts w:ascii="Georgia" w:eastAsia="Times New Roman" w:hAnsi="Georgia" w:cs="Times New Roman"/>
          <w:i/>
          <w:iCs/>
          <w:color w:val="242424"/>
          <w:spacing w:val="-1"/>
          <w:kern w:val="0"/>
          <w:sz w:val="30"/>
          <w:szCs w:val="30"/>
          <w14:ligatures w14:val="none"/>
        </w:rPr>
        <w:t>StorageDeal</w:t>
      </w:r>
      <w:r w:rsidRPr="00572709">
        <w:rPr>
          <w:rFonts w:ascii="Georgia" w:eastAsia="Times New Roman" w:hAnsi="Georgia" w:cs="Times New Roman"/>
          <w:color w:val="242424"/>
          <w:spacing w:val="-1"/>
          <w:kern w:val="0"/>
          <w:sz w:val="30"/>
          <w:szCs w:val="30"/>
          <w14:ligatures w14:val="none"/>
        </w:rPr>
        <w:t>, a </w:t>
      </w:r>
      <w:r w:rsidRPr="00572709">
        <w:rPr>
          <w:rFonts w:ascii="Georgia" w:eastAsia="Times New Roman" w:hAnsi="Georgia" w:cs="Times New Roman"/>
          <w:i/>
          <w:iCs/>
          <w:color w:val="242424"/>
          <w:spacing w:val="-1"/>
          <w:kern w:val="0"/>
          <w:sz w:val="30"/>
          <w:szCs w:val="30"/>
          <w14:ligatures w14:val="none"/>
        </w:rPr>
        <w:t>RetentionPolicy</w:t>
      </w:r>
      <w:r w:rsidRPr="00572709">
        <w:rPr>
          <w:rFonts w:ascii="Georgia" w:eastAsia="Times New Roman" w:hAnsi="Georgia" w:cs="Times New Roman"/>
          <w:color w:val="242424"/>
          <w:spacing w:val="-1"/>
          <w:kern w:val="0"/>
          <w:sz w:val="30"/>
          <w:szCs w:val="30"/>
          <w14:ligatures w14:val="none"/>
        </w:rPr>
        <w:t>, or an </w:t>
      </w:r>
      <w:r w:rsidRPr="00572709">
        <w:rPr>
          <w:rFonts w:ascii="Georgia" w:eastAsia="Times New Roman" w:hAnsi="Georgia" w:cs="Times New Roman"/>
          <w:i/>
          <w:iCs/>
          <w:color w:val="242424"/>
          <w:spacing w:val="-1"/>
          <w:kern w:val="0"/>
          <w:sz w:val="30"/>
          <w:szCs w:val="30"/>
          <w14:ligatures w14:val="none"/>
        </w:rPr>
        <w:t>AccessRight</w:t>
      </w:r>
      <w:r w:rsidRPr="00572709">
        <w:rPr>
          <w:rFonts w:ascii="Georgia" w:eastAsia="Times New Roman" w:hAnsi="Georgia" w:cs="Times New Roman"/>
          <w:color w:val="242424"/>
          <w:spacing w:val="-1"/>
          <w:kern w:val="0"/>
          <w:sz w:val="30"/>
          <w:szCs w:val="30"/>
          <w14:ligatures w14:val="none"/>
        </w:rPr>
        <w:t> is, and how they relate — enabling inference (e.g., deducing that a derived dataset inherits the licence of its source). SKOS organises the controlled vocabularies used to tag content (subject taxonomies, sensitivity levels) so that discovery is consistent across users. SHACL is the service’s </w:t>
      </w:r>
      <w:r w:rsidRPr="00572709">
        <w:rPr>
          <w:rFonts w:ascii="Georgia" w:eastAsia="Times New Roman" w:hAnsi="Georgia" w:cs="Times New Roman"/>
          <w:b/>
          <w:bCs/>
          <w:color w:val="242424"/>
          <w:spacing w:val="-1"/>
          <w:kern w:val="0"/>
          <w:sz w:val="30"/>
          <w:szCs w:val="30"/>
          <w14:ligatures w14:val="none"/>
        </w:rPr>
        <w:t>admission and integrity control</w:t>
      </w:r>
      <w:r w:rsidRPr="00572709">
        <w:rPr>
          <w:rFonts w:ascii="Georgia" w:eastAsia="Times New Roman" w:hAnsi="Georgia" w:cs="Times New Roman"/>
          <w:color w:val="242424"/>
          <w:spacing w:val="-1"/>
          <w:kern w:val="0"/>
          <w:sz w:val="30"/>
          <w:szCs w:val="30"/>
          <w14:ligatures w14:val="none"/>
        </w:rPr>
        <w:t>: before a metadata record about a newly stored object is accepted into the graph, it is validated against SHACL shapes (must have an author, a valid content identifier, a licence, a replication factor within policy), preventing malformed or non-compliant metadata from polluting the index. JSON-LD is the </w:t>
      </w:r>
      <w:r w:rsidRPr="00572709">
        <w:rPr>
          <w:rFonts w:ascii="Georgia" w:eastAsia="Times New Roman" w:hAnsi="Georgia" w:cs="Times New Roman"/>
          <w:b/>
          <w:bCs/>
          <w:color w:val="242424"/>
          <w:spacing w:val="-1"/>
          <w:kern w:val="0"/>
          <w:sz w:val="30"/>
          <w:szCs w:val="30"/>
          <w14:ligatures w14:val="none"/>
        </w:rPr>
        <w:t>developer on-ramp</w:t>
      </w:r>
      <w:r w:rsidRPr="00572709">
        <w:rPr>
          <w:rFonts w:ascii="Georgia" w:eastAsia="Times New Roman" w:hAnsi="Georgia" w:cs="Times New Roman"/>
          <w:color w:val="242424"/>
          <w:spacing w:val="-1"/>
          <w:kern w:val="0"/>
          <w:sz w:val="30"/>
          <w:szCs w:val="30"/>
          <w14:ligatures w14:val="none"/>
        </w:rPr>
        <w:t>: client applications and storage agents can publish and consume metadata as JSON that is simultaneously valid RDF, lowering the barrier to participation. Together, OWL/SKOS/SHACL/JSON-LD turn the metadata layer from free-form annotation into a governed, validatable, inference-capable schema.</w:t>
      </w:r>
    </w:p>
    <w:p w14:paraId="5026896C"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3.4 KG — Knowledge Graph</w:t>
      </w:r>
    </w:p>
    <w:p w14:paraId="7172C23B"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Although the source text speaks of a “knowledge-graph platform” without abbreviating it, KG (Knowledge Graph) is the umbrella concept and deserves an explicit entry. A knowledge graph is a graph-structured knowledge base that integrates data as entities and relationships, typically expressed in RDF and governed by ontologies (Hogan et al., 2021). The source text’s framing is precise and worth preserving: the graph “holds domain facts, acts as an index for better RAG, and encodes procedural, agentic knowledge” — three distinct roles (facts, index, procedure) that recur below.</w:t>
      </w:r>
    </w:p>
    <w:p w14:paraId="5A92550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The knowledge graph is the </w:t>
      </w:r>
      <w:r w:rsidRPr="00572709">
        <w:rPr>
          <w:rFonts w:ascii="Georgia" w:eastAsia="Times New Roman" w:hAnsi="Georgia" w:cs="Times New Roman"/>
          <w:b/>
          <w:bCs/>
          <w:color w:val="242424"/>
          <w:spacing w:val="-1"/>
          <w:kern w:val="0"/>
          <w:sz w:val="30"/>
          <w:szCs w:val="30"/>
          <w14:ligatures w14:val="none"/>
        </w:rPr>
        <w:t>connective tissue</w:t>
      </w:r>
      <w:r w:rsidRPr="00572709">
        <w:rPr>
          <w:rFonts w:ascii="Georgia" w:eastAsia="Times New Roman" w:hAnsi="Georgia" w:cs="Times New Roman"/>
          <w:color w:val="242424"/>
          <w:spacing w:val="-1"/>
          <w:kern w:val="0"/>
          <w:sz w:val="30"/>
          <w:szCs w:val="30"/>
          <w14:ligatures w14:val="none"/>
        </w:rPr>
        <w:t> of the whole service — the single structure in which the metadata (Section 3.1), the schemas (Section 3.3), the retrieval index (Section 3.5), and the operational workflows (Section 3.6) all live and interlink. It is what lets a storage service reason across the boundary between </w:t>
      </w:r>
      <w:r w:rsidRPr="00572709">
        <w:rPr>
          <w:rFonts w:ascii="Georgia" w:eastAsia="Times New Roman" w:hAnsi="Georgia" w:cs="Times New Roman"/>
          <w:i/>
          <w:iCs/>
          <w:color w:val="242424"/>
          <w:spacing w:val="-1"/>
          <w:kern w:val="0"/>
          <w:sz w:val="30"/>
          <w:szCs w:val="30"/>
          <w14:ligatures w14:val="none"/>
        </w:rPr>
        <w:t>content</w:t>
      </w:r>
      <w:r w:rsidRPr="00572709">
        <w:rPr>
          <w:rFonts w:ascii="Georgia" w:eastAsia="Times New Roman" w:hAnsi="Georgia" w:cs="Times New Roman"/>
          <w:color w:val="242424"/>
          <w:spacing w:val="-1"/>
          <w:kern w:val="0"/>
          <w:sz w:val="30"/>
          <w:szCs w:val="30"/>
          <w14:ligatures w14:val="none"/>
        </w:rPr>
        <w:t> (what is stored) and </w:t>
      </w:r>
      <w:r w:rsidRPr="00572709">
        <w:rPr>
          <w:rFonts w:ascii="Georgia" w:eastAsia="Times New Roman" w:hAnsi="Georgia" w:cs="Times New Roman"/>
          <w:i/>
          <w:iCs/>
          <w:color w:val="242424"/>
          <w:spacing w:val="-1"/>
          <w:kern w:val="0"/>
          <w:sz w:val="30"/>
          <w:szCs w:val="30"/>
          <w14:ligatures w14:val="none"/>
        </w:rPr>
        <w:t>process</w:t>
      </w:r>
      <w:r w:rsidRPr="00572709">
        <w:rPr>
          <w:rFonts w:ascii="Georgia" w:eastAsia="Times New Roman" w:hAnsi="Georgia" w:cs="Times New Roman"/>
          <w:color w:val="242424"/>
          <w:spacing w:val="-1"/>
          <w:kern w:val="0"/>
          <w:sz w:val="30"/>
          <w:szCs w:val="30"/>
          <w14:ligatures w14:val="none"/>
        </w:rPr>
        <w:t> (how it is stored, verified, and served), because both are represented as graph facts. The three roles the source text identifies map onto three storage-service functions: the graph as </w:t>
      </w:r>
      <w:r w:rsidRPr="00572709">
        <w:rPr>
          <w:rFonts w:ascii="Georgia" w:eastAsia="Times New Roman" w:hAnsi="Georgia" w:cs="Times New Roman"/>
          <w:i/>
          <w:iCs/>
          <w:color w:val="242424"/>
          <w:spacing w:val="-1"/>
          <w:kern w:val="0"/>
          <w:sz w:val="30"/>
          <w:szCs w:val="30"/>
          <w14:ligatures w14:val="none"/>
        </w:rPr>
        <w:t>domain facts</w:t>
      </w:r>
      <w:r w:rsidRPr="00572709">
        <w:rPr>
          <w:rFonts w:ascii="Georgia" w:eastAsia="Times New Roman" w:hAnsi="Georgia" w:cs="Times New Roman"/>
          <w:color w:val="242424"/>
          <w:spacing w:val="-1"/>
          <w:kern w:val="0"/>
          <w:sz w:val="30"/>
          <w:szCs w:val="30"/>
          <w14:ligatures w14:val="none"/>
        </w:rPr>
        <w:t> is the catalogue of stored assets and their properties; the graph as </w:t>
      </w:r>
      <w:r w:rsidRPr="00572709">
        <w:rPr>
          <w:rFonts w:ascii="Georgia" w:eastAsia="Times New Roman" w:hAnsi="Georgia" w:cs="Times New Roman"/>
          <w:i/>
          <w:iCs/>
          <w:color w:val="242424"/>
          <w:spacing w:val="-1"/>
          <w:kern w:val="0"/>
          <w:sz w:val="30"/>
          <w:szCs w:val="30"/>
          <w14:ligatures w14:val="none"/>
        </w:rPr>
        <w:t>index for RAG</w:t>
      </w:r>
      <w:r w:rsidRPr="00572709">
        <w:rPr>
          <w:rFonts w:ascii="Georgia" w:eastAsia="Times New Roman" w:hAnsi="Georgia" w:cs="Times New Roman"/>
          <w:color w:val="242424"/>
          <w:spacing w:val="-1"/>
          <w:kern w:val="0"/>
          <w:sz w:val="30"/>
          <w:szCs w:val="30"/>
          <w14:ligatures w14:val="none"/>
        </w:rPr>
        <w:t> is the discovery and retrieval layer; the graph as </w:t>
      </w:r>
      <w:r w:rsidRPr="00572709">
        <w:rPr>
          <w:rFonts w:ascii="Georgia" w:eastAsia="Times New Roman" w:hAnsi="Georgia" w:cs="Times New Roman"/>
          <w:i/>
          <w:iCs/>
          <w:color w:val="242424"/>
          <w:spacing w:val="-1"/>
          <w:kern w:val="0"/>
          <w:sz w:val="30"/>
          <w:szCs w:val="30"/>
          <w14:ligatures w14:val="none"/>
        </w:rPr>
        <w:t>procedural, agentic knowledge</w:t>
      </w:r>
      <w:r w:rsidRPr="00572709">
        <w:rPr>
          <w:rFonts w:ascii="Georgia" w:eastAsia="Times New Roman" w:hAnsi="Georgia" w:cs="Times New Roman"/>
          <w:color w:val="242424"/>
          <w:spacing w:val="-1"/>
          <w:kern w:val="0"/>
          <w:sz w:val="30"/>
          <w:szCs w:val="30"/>
          <w14:ligatures w14:val="none"/>
        </w:rPr>
        <w:t> is the encoded operating procedure for storage lifecycle management (Section 3.6).</w:t>
      </w:r>
    </w:p>
    <w:p w14:paraId="3AD40611"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3.5 AI, LLM, RAG, and GraphRAG — the retrieval and reasoning family</w:t>
      </w:r>
    </w:p>
    <w:p w14:paraId="72F999EE"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source text’s AI vocabulary forms a nested set. </w:t>
      </w:r>
      <w:r w:rsidRPr="00572709">
        <w:rPr>
          <w:rFonts w:ascii="Georgia" w:eastAsia="Times New Roman" w:hAnsi="Georgia" w:cs="Times New Roman"/>
          <w:b/>
          <w:bCs/>
          <w:color w:val="242424"/>
          <w:spacing w:val="-1"/>
          <w:kern w:val="0"/>
          <w:sz w:val="30"/>
          <w:szCs w:val="30"/>
          <w14:ligatures w14:val="none"/>
        </w:rPr>
        <w:t>AI</w:t>
      </w:r>
      <w:r w:rsidRPr="00572709">
        <w:rPr>
          <w:rFonts w:ascii="Georgia" w:eastAsia="Times New Roman" w:hAnsi="Georgia" w:cs="Times New Roman"/>
          <w:color w:val="242424"/>
          <w:spacing w:val="-1"/>
          <w:kern w:val="0"/>
          <w:sz w:val="30"/>
          <w:szCs w:val="30"/>
          <w14:ligatures w14:val="none"/>
        </w:rPr>
        <w:t> (Artificial Intelligence) is the umbrella. An </w:t>
      </w:r>
      <w:r w:rsidRPr="00572709">
        <w:rPr>
          <w:rFonts w:ascii="Georgia" w:eastAsia="Times New Roman" w:hAnsi="Georgia" w:cs="Times New Roman"/>
          <w:b/>
          <w:bCs/>
          <w:color w:val="242424"/>
          <w:spacing w:val="-1"/>
          <w:kern w:val="0"/>
          <w:sz w:val="30"/>
          <w:szCs w:val="30"/>
          <w14:ligatures w14:val="none"/>
        </w:rPr>
        <w:t>LLM</w:t>
      </w:r>
      <w:r w:rsidRPr="00572709">
        <w:rPr>
          <w:rFonts w:ascii="Georgia" w:eastAsia="Times New Roman" w:hAnsi="Georgia" w:cs="Times New Roman"/>
          <w:color w:val="242424"/>
          <w:spacing w:val="-1"/>
          <w:kern w:val="0"/>
          <w:sz w:val="30"/>
          <w:szCs w:val="30"/>
          <w14:ligatures w14:val="none"/>
        </w:rPr>
        <w:t> (Large Language Model) is a neural network trained on vast text corpora to generate and understand natural language; </w:t>
      </w:r>
      <w:r w:rsidRPr="00572709">
        <w:rPr>
          <w:rFonts w:ascii="Georgia" w:eastAsia="Times New Roman" w:hAnsi="Georgia" w:cs="Times New Roman"/>
          <w:i/>
          <w:iCs/>
          <w:color w:val="242424"/>
          <w:spacing w:val="-1"/>
          <w:kern w:val="0"/>
          <w:sz w:val="30"/>
          <w:szCs w:val="30"/>
          <w14:ligatures w14:val="none"/>
        </w:rPr>
        <w:t>embeddings</w:t>
      </w:r>
      <w:r w:rsidRPr="00572709">
        <w:rPr>
          <w:rFonts w:ascii="Georgia" w:eastAsia="Times New Roman" w:hAnsi="Georgia" w:cs="Times New Roman"/>
          <w:color w:val="242424"/>
          <w:spacing w:val="-1"/>
          <w:kern w:val="0"/>
          <w:sz w:val="30"/>
          <w:szCs w:val="30"/>
          <w14:ligatures w14:val="none"/>
        </w:rPr>
        <w:t> are the dense vector representations of text (or other data) that LLM-adjacent systems use to measure semantic similarity. </w:t>
      </w:r>
      <w:r w:rsidRPr="00572709">
        <w:rPr>
          <w:rFonts w:ascii="Georgia" w:eastAsia="Times New Roman" w:hAnsi="Georgia" w:cs="Times New Roman"/>
          <w:b/>
          <w:bCs/>
          <w:color w:val="242424"/>
          <w:spacing w:val="-1"/>
          <w:kern w:val="0"/>
          <w:sz w:val="30"/>
          <w:szCs w:val="30"/>
          <w14:ligatures w14:val="none"/>
        </w:rPr>
        <w:t>RAG</w:t>
      </w:r>
      <w:r w:rsidRPr="00572709">
        <w:rPr>
          <w:rFonts w:ascii="Georgia" w:eastAsia="Times New Roman" w:hAnsi="Georgia" w:cs="Times New Roman"/>
          <w:color w:val="242424"/>
          <w:spacing w:val="-1"/>
          <w:kern w:val="0"/>
          <w:sz w:val="30"/>
          <w:szCs w:val="30"/>
          <w14:ligatures w14:val="none"/>
        </w:rPr>
        <w:t> (Retrieval-Augmented Generation), introduced by Lewis et al. (2020), is the technique of grounding an LLM’s output in documents retrieved at query time, so that the model answers from an external, updatable knowledge source rather than from its frozen parameters alone — improving factual accuracy and enabling attribution. </w:t>
      </w:r>
      <w:r w:rsidRPr="00572709">
        <w:rPr>
          <w:rFonts w:ascii="Georgia" w:eastAsia="Times New Roman" w:hAnsi="Georgia" w:cs="Times New Roman"/>
          <w:b/>
          <w:b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(Graph Retrieval-Augmented Generation) extends RAG by using a knowledge graph as the retrieval substrate: rather than retrieving isolated text chunks, GraphRAG retrieves entities, relationships, and community structure from a graph, which supports global, multi-hop, and “sensemaking” questions that flat retrieval handles poorly. Microsoft’s formulation (Edge et al., 2024) builds an entity knowledge graph from source documents and pregenerates community summaries to answer corpus-wide questions; the source text’s version is broader still, using the graph as domain facts, as retrieval index, and as a store of procedural knowledge.</w:t>
      </w:r>
    </w:p>
    <w:p w14:paraId="6C9344E8"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This family supplies the service’s </w:t>
      </w:r>
      <w:r w:rsidRPr="00572709">
        <w:rPr>
          <w:rFonts w:ascii="Georgia" w:eastAsia="Times New Roman" w:hAnsi="Georgia" w:cs="Times New Roman"/>
          <w:b/>
          <w:bCs/>
          <w:color w:val="242424"/>
          <w:spacing w:val="-1"/>
          <w:kern w:val="0"/>
          <w:sz w:val="30"/>
          <w:szCs w:val="30"/>
          <w14:ligatures w14:val="none"/>
        </w:rPr>
        <w:t>intelligent retrieval and reasoning layer</w:t>
      </w:r>
      <w:r w:rsidRPr="00572709">
        <w:rPr>
          <w:rFonts w:ascii="Georgia" w:eastAsia="Times New Roman" w:hAnsi="Georgia" w:cs="Times New Roman"/>
          <w:color w:val="242424"/>
          <w:spacing w:val="-1"/>
          <w:kern w:val="0"/>
          <w:sz w:val="30"/>
          <w:szCs w:val="30"/>
          <w14:ligatures w14:val="none"/>
        </w:rPr>
        <w:t>. Embeddings let the service index stored content by semantic similarity, so that a user (or an agent) can find “documents about supply-chain risk” even when those words never appear, resolving the query to a set of content identifiers for retrieval from the substrate. RAG lets a natural-language assistant answer questions </w:t>
      </w:r>
      <w:r w:rsidRPr="00572709">
        <w:rPr>
          <w:rFonts w:ascii="Georgia" w:eastAsia="Times New Roman" w:hAnsi="Georgia" w:cs="Times New Roman"/>
          <w:i/>
          <w:iCs/>
          <w:color w:val="242424"/>
          <w:spacing w:val="-1"/>
          <w:kern w:val="0"/>
          <w:sz w:val="30"/>
          <w:szCs w:val="30"/>
          <w14:ligatures w14:val="none"/>
        </w:rPr>
        <w:t>grounded in the actually-stored content</w:t>
      </w:r>
      <w:r w:rsidRPr="00572709">
        <w:rPr>
          <w:rFonts w:ascii="Georgia" w:eastAsia="Times New Roman" w:hAnsi="Georgia" w:cs="Times New Roman"/>
          <w:color w:val="242424"/>
          <w:spacing w:val="-1"/>
          <w:kern w:val="0"/>
          <w:sz w:val="30"/>
          <w:szCs w:val="30"/>
          <w14:ligatures w14:val="none"/>
        </w:rPr>
        <w:t>, retrieving the relevant objects from decentralized storage and citing them — a decisive capability for a storage service that wants to be queried in natural language while remaining verifiable. GraphRAG is the differentiator: because the storage service’s metadata is a knowledge graph, GraphRAG can traverse it to answer relational and global questions — “which stored datasets are downstream of the now-retracted source S and must be re-verified?” — that require following relationships across many objects, not just matching one. In short, RAG makes the stored corpus </w:t>
      </w:r>
      <w:r w:rsidRPr="00572709">
        <w:rPr>
          <w:rFonts w:ascii="Georgia" w:eastAsia="Times New Roman" w:hAnsi="Georgia" w:cs="Times New Roman"/>
          <w:i/>
          <w:iCs/>
          <w:color w:val="242424"/>
          <w:spacing w:val="-1"/>
          <w:kern w:val="0"/>
          <w:sz w:val="30"/>
          <w:szCs w:val="30"/>
          <w14:ligatures w14:val="none"/>
        </w:rPr>
        <w:t>answerable</w:t>
      </w:r>
      <w:r w:rsidRPr="00572709">
        <w:rPr>
          <w:rFonts w:ascii="Georgia" w:eastAsia="Times New Roman" w:hAnsi="Georgia" w:cs="Times New Roman"/>
          <w:color w:val="242424"/>
          <w:spacing w:val="-1"/>
          <w:kern w:val="0"/>
          <w:sz w:val="30"/>
          <w:szCs w:val="30"/>
          <w14:ligatures w14:val="none"/>
        </w:rPr>
        <w:t>, and GraphRAG makes the </w:t>
      </w:r>
      <w:r w:rsidRPr="00572709">
        <w:rPr>
          <w:rFonts w:ascii="Georgia" w:eastAsia="Times New Roman" w:hAnsi="Georgia" w:cs="Times New Roman"/>
          <w:i/>
          <w:iCs/>
          <w:color w:val="242424"/>
          <w:spacing w:val="-1"/>
          <w:kern w:val="0"/>
          <w:sz w:val="30"/>
          <w:szCs w:val="30"/>
          <w14:ligatures w14:val="none"/>
        </w:rPr>
        <w:t>relationships among stored objects</w:t>
      </w:r>
      <w:r w:rsidRPr="00572709">
        <w:rPr>
          <w:rFonts w:ascii="Georgia" w:eastAsia="Times New Roman" w:hAnsi="Georgia" w:cs="Times New Roman"/>
          <w:color w:val="242424"/>
          <w:spacing w:val="-1"/>
          <w:kern w:val="0"/>
          <w:sz w:val="30"/>
          <w:szCs w:val="30"/>
          <w14:ligatures w14:val="none"/>
        </w:rPr>
        <w:t> answerable.</w:t>
      </w:r>
    </w:p>
    <w:p w14:paraId="68C76573"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It is worth being precise about how embeddings and the graph divide the retrieval labour, because they are complementary rather than competing indexes. An embedding index (a vector store) answers </w:t>
      </w:r>
      <w:r w:rsidRPr="00572709">
        <w:rPr>
          <w:rFonts w:ascii="Georgia" w:eastAsia="Times New Roman" w:hAnsi="Georgia" w:cs="Times New Roman"/>
          <w:i/>
          <w:iCs/>
          <w:color w:val="242424"/>
          <w:spacing w:val="-1"/>
          <w:kern w:val="0"/>
          <w:sz w:val="30"/>
          <w:szCs w:val="30"/>
          <w14:ligatures w14:val="none"/>
        </w:rPr>
        <w:t>similarity</w:t>
      </w:r>
      <w:r w:rsidRPr="00572709">
        <w:rPr>
          <w:rFonts w:ascii="Georgia" w:eastAsia="Times New Roman" w:hAnsi="Georgia" w:cs="Times New Roman"/>
          <w:color w:val="242424"/>
          <w:spacing w:val="-1"/>
          <w:kern w:val="0"/>
          <w:sz w:val="30"/>
          <w:szCs w:val="30"/>
          <w14:ligatures w14:val="none"/>
        </w:rPr>
        <w:t> questions — “find content semantically near this query” — cheaply and fuzzily, tolerating vocabulary mismatch; it is how the service first narrows a natural-language request to a candidate set of CIDs. The knowledge graph, queried by SPARQL, answers </w:t>
      </w:r>
      <w:r w:rsidRPr="00572709">
        <w:rPr>
          <w:rFonts w:ascii="Georgia" w:eastAsia="Times New Roman" w:hAnsi="Georgia" w:cs="Times New Roman"/>
          <w:i/>
          <w:iCs/>
          <w:color w:val="242424"/>
          <w:spacing w:val="-1"/>
          <w:kern w:val="0"/>
          <w:sz w:val="30"/>
          <w:szCs w:val="30"/>
          <w14:ligatures w14:val="none"/>
        </w:rPr>
        <w:t>relational and constraint</w:t>
      </w:r>
      <w:r w:rsidRPr="00572709">
        <w:rPr>
          <w:rFonts w:ascii="Georgia" w:eastAsia="Times New Roman" w:hAnsi="Georgia" w:cs="Times New Roman"/>
          <w:color w:val="242424"/>
          <w:spacing w:val="-1"/>
          <w:kern w:val="0"/>
          <w:sz w:val="30"/>
          <w:szCs w:val="30"/>
          <w14:ligatures w14:val="none"/>
        </w:rPr>
        <w:t> questions exactly — “of those candidates, which are commercially licensed, replicated three times, and derived from source S.” A production retrieval layer therefore runs a </w:t>
      </w:r>
      <w:r w:rsidRPr="00572709">
        <w:rPr>
          <w:rFonts w:ascii="Georgia" w:eastAsia="Times New Roman" w:hAnsi="Georgia" w:cs="Times New Roman"/>
          <w:b/>
          <w:bCs/>
          <w:color w:val="242424"/>
          <w:spacing w:val="-1"/>
          <w:kern w:val="0"/>
          <w:sz w:val="30"/>
          <w:szCs w:val="30"/>
          <w14:ligatures w14:val="none"/>
        </w:rPr>
        <w:t>hybrid</w:t>
      </w:r>
      <w:r w:rsidRPr="00572709">
        <w:rPr>
          <w:rFonts w:ascii="Georgia" w:eastAsia="Times New Roman" w:hAnsi="Georgia" w:cs="Times New Roman"/>
          <w:color w:val="242424"/>
          <w:spacing w:val="-1"/>
          <w:kern w:val="0"/>
          <w:sz w:val="30"/>
          <w:szCs w:val="30"/>
          <w14:ligatures w14:val="none"/>
        </w:rPr>
        <w:t>: vector search proposes, graph query disposes. GraphRAG is the pattern that stitches the two together, using graph structure to expand, filter, and explain what vector similarity proposes, so that the assistant’s answer is both semantically relevant and provably compliant with the metadata constraints. For a storage service, this hybrid is not a luxury: similarity alone would return plausible but non-compliant objects, and constraint alone would require the user to already know the vocabulary. The two indexes, over the same CIDs, give discovery that is at once forgiving in language and strict in policy.</w:t>
      </w:r>
    </w:p>
    <w:p w14:paraId="448BDFA4"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3.6 BPMN and BBO — the workflow and agentic-process family</w:t>
      </w:r>
    </w:p>
    <w:p w14:paraId="450F81E0"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source text’s most distinctive move is to model </w:t>
      </w:r>
      <w:r w:rsidRPr="00572709">
        <w:rPr>
          <w:rFonts w:ascii="Georgia" w:eastAsia="Times New Roman" w:hAnsi="Georgia" w:cs="Times New Roman"/>
          <w:i/>
          <w:iCs/>
          <w:color w:val="242424"/>
          <w:spacing w:val="-1"/>
          <w:kern w:val="0"/>
          <w:sz w:val="30"/>
          <w:szCs w:val="30"/>
          <w14:ligatures w14:val="none"/>
        </w:rPr>
        <w:t>workflows</w:t>
      </w:r>
      <w:r w:rsidRPr="00572709">
        <w:rPr>
          <w:rFonts w:ascii="Georgia" w:eastAsia="Times New Roman" w:hAnsi="Georgia" w:cs="Times New Roman"/>
          <w:color w:val="242424"/>
          <w:spacing w:val="-1"/>
          <w:kern w:val="0"/>
          <w:sz w:val="30"/>
          <w:szCs w:val="30"/>
          <w14:ligatures w14:val="none"/>
        </w:rPr>
        <w:t> in the graph, naming two standards. </w:t>
      </w:r>
      <w:r w:rsidRPr="00572709">
        <w:rPr>
          <w:rFonts w:ascii="Georgia" w:eastAsia="Times New Roman" w:hAnsi="Georgia" w:cs="Times New Roman"/>
          <w:b/>
          <w:bCs/>
          <w:color w:val="242424"/>
          <w:spacing w:val="-1"/>
          <w:kern w:val="0"/>
          <w:sz w:val="30"/>
          <w:szCs w:val="30"/>
          <w14:ligatures w14:val="none"/>
        </w:rPr>
        <w:t>BPMN</w:t>
      </w:r>
      <w:r w:rsidRPr="00572709">
        <w:rPr>
          <w:rFonts w:ascii="Georgia" w:eastAsia="Times New Roman" w:hAnsi="Georgia" w:cs="Times New Roman"/>
          <w:color w:val="242424"/>
          <w:spacing w:val="-1"/>
          <w:kern w:val="0"/>
          <w:sz w:val="30"/>
          <w:szCs w:val="30"/>
          <w14:ligatures w14:val="none"/>
        </w:rPr>
        <w:t> (Business Process Model and Notation) is the Object Management Group’s standard graphical notation for business processes — tasks, gateways, events, and flows — standardised as BPMN 2.0 (OMG, 2011) and widely used to specify executable processes. </w:t>
      </w:r>
      <w:r w:rsidRPr="00572709">
        <w:rPr>
          <w:rFonts w:ascii="Georgia" w:eastAsia="Times New Roman" w:hAnsi="Georgia" w:cs="Times New Roman"/>
          <w:b/>
          <w:bCs/>
          <w:color w:val="242424"/>
          <w:spacing w:val="-1"/>
          <w:kern w:val="0"/>
          <w:sz w:val="30"/>
          <w:szCs w:val="30"/>
          <w14:ligatures w14:val="none"/>
        </w:rPr>
        <w:t>BBO</w:t>
      </w:r>
      <w:r w:rsidRPr="00572709">
        <w:rPr>
          <w:rFonts w:ascii="Georgia" w:eastAsia="Times New Roman" w:hAnsi="Georgia" w:cs="Times New Roman"/>
          <w:color w:val="242424"/>
          <w:spacing w:val="-1"/>
          <w:kern w:val="0"/>
          <w:sz w:val="30"/>
          <w:szCs w:val="30"/>
          <w14:ligatures w14:val="none"/>
        </w:rPr>
        <w:t> (BPMN 2.0 Based Ontology) is a formal ontology that represents BPMN process models in RDF/OWL, developed by Annane, Aussenac-Gilles, and Kamel (2019); it lets a process model become </w:t>
      </w:r>
      <w:r w:rsidRPr="00572709">
        <w:rPr>
          <w:rFonts w:ascii="Georgia" w:eastAsia="Times New Roman" w:hAnsi="Georgia" w:cs="Times New Roman"/>
          <w:i/>
          <w:iCs/>
          <w:color w:val="242424"/>
          <w:spacing w:val="-1"/>
          <w:kern w:val="0"/>
          <w:sz w:val="30"/>
          <w:szCs w:val="30"/>
          <w14:ligatures w14:val="none"/>
        </w:rPr>
        <w:t>graph data</w:t>
      </w:r>
      <w:r w:rsidRPr="00572709">
        <w:rPr>
          <w:rFonts w:ascii="Georgia" w:eastAsia="Times New Roman" w:hAnsi="Georgia" w:cs="Times New Roman"/>
          <w:color w:val="242424"/>
          <w:spacing w:val="-1"/>
          <w:kern w:val="0"/>
          <w:sz w:val="30"/>
          <w:szCs w:val="30"/>
          <w14:ligatures w14:val="none"/>
        </w:rPr>
        <w:t> that can be queried with SPARQL and reasoned over, rather than remaining a diagram trapped in a modelling tool. The source text’s ambition — “extending the BBO ontology, exploring transparent BPMN, and making tool libraries available to agents via GraphRAG” — is to encode </w:t>
      </w:r>
      <w:r w:rsidRPr="00572709">
        <w:rPr>
          <w:rFonts w:ascii="Georgia" w:eastAsia="Times New Roman" w:hAnsi="Georgia" w:cs="Times New Roman"/>
          <w:i/>
          <w:iCs/>
          <w:color w:val="242424"/>
          <w:spacing w:val="-1"/>
          <w:kern w:val="0"/>
          <w:sz w:val="30"/>
          <w:szCs w:val="30"/>
          <w14:ligatures w14:val="none"/>
        </w:rPr>
        <w:t>how work is done</w:t>
      </w:r>
      <w:r w:rsidRPr="00572709">
        <w:rPr>
          <w:rFonts w:ascii="Georgia" w:eastAsia="Times New Roman" w:hAnsi="Georgia" w:cs="Times New Roman"/>
          <w:color w:val="242424"/>
          <w:spacing w:val="-1"/>
          <w:kern w:val="0"/>
          <w:sz w:val="30"/>
          <w:szCs w:val="30"/>
          <w14:ligatures w14:val="none"/>
        </w:rPr>
        <w:t> as first-class, queryable knowledge that AI agents can read and enact.</w:t>
      </w:r>
    </w:p>
    <w:p w14:paraId="7EF64C68"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 to a blockchain storage service.</w:t>
      </w:r>
      <w:r w:rsidRPr="00572709">
        <w:rPr>
          <w:rFonts w:ascii="Georgia" w:eastAsia="Times New Roman" w:hAnsi="Georgia" w:cs="Times New Roman"/>
          <w:color w:val="242424"/>
          <w:spacing w:val="-1"/>
          <w:kern w:val="0"/>
          <w:sz w:val="30"/>
          <w:szCs w:val="30"/>
          <w14:ligatures w14:val="none"/>
        </w:rPr>
        <w:t> A storage service is not only data at rest; it is a set of </w:t>
      </w:r>
      <w:r w:rsidRPr="00572709">
        <w:rPr>
          <w:rFonts w:ascii="Georgia" w:eastAsia="Times New Roman" w:hAnsi="Georgia" w:cs="Times New Roman"/>
          <w:b/>
          <w:bCs/>
          <w:color w:val="242424"/>
          <w:spacing w:val="-1"/>
          <w:kern w:val="0"/>
          <w:sz w:val="30"/>
          <w:szCs w:val="30"/>
          <w14:ligatures w14:val="none"/>
        </w:rPr>
        <w:t>lifecycle processes</w:t>
      </w:r>
      <w:r w:rsidRPr="00572709">
        <w:rPr>
          <w:rFonts w:ascii="Georgia" w:eastAsia="Times New Roman" w:hAnsi="Georgia" w:cs="Times New Roman"/>
          <w:color w:val="242424"/>
          <w:spacing w:val="-1"/>
          <w:kern w:val="0"/>
          <w:sz w:val="30"/>
          <w:szCs w:val="30"/>
          <w14:ligatures w14:val="none"/>
        </w:rPr>
        <w:t> — ingest, chunk, erasure-code, replicate, make a storage deal, verify the proof, monitor the service-level agreement, re-replicate on fault, serve on retrieval, and garbage-collect on expiry. BPMN is the natural notation for these processes, and BBO makes them </w:t>
      </w:r>
      <w:r w:rsidRPr="00572709">
        <w:rPr>
          <w:rFonts w:ascii="Georgia" w:eastAsia="Times New Roman" w:hAnsi="Georgia" w:cs="Times New Roman"/>
          <w:i/>
          <w:iCs/>
          <w:color w:val="242424"/>
          <w:spacing w:val="-1"/>
          <w:kern w:val="0"/>
          <w:sz w:val="30"/>
          <w:szCs w:val="30"/>
          <w14:ligatures w14:val="none"/>
        </w:rPr>
        <w:t>graph-native</w:t>
      </w:r>
      <w:r w:rsidRPr="00572709">
        <w:rPr>
          <w:rFonts w:ascii="Georgia" w:eastAsia="Times New Roman" w:hAnsi="Georgia" w:cs="Times New Roman"/>
          <w:color w:val="242424"/>
          <w:spacing w:val="-1"/>
          <w:kern w:val="0"/>
          <w:sz w:val="30"/>
          <w:szCs w:val="30"/>
          <w14:ligatures w14:val="none"/>
        </w:rPr>
        <w:t>: the storage lifecycle is represented as RDF, so it can be queried (“show every in-flight replication task blocked on proof verification”), validated, versioned, and — critically — </w:t>
      </w:r>
      <w:r w:rsidRPr="00572709">
        <w:rPr>
          <w:rFonts w:ascii="Georgia" w:eastAsia="Times New Roman" w:hAnsi="Georgia" w:cs="Times New Roman"/>
          <w:b/>
          <w:bCs/>
          <w:color w:val="242424"/>
          <w:spacing w:val="-1"/>
          <w:kern w:val="0"/>
          <w:sz w:val="30"/>
          <w:szCs w:val="30"/>
          <w14:ligatures w14:val="none"/>
        </w:rPr>
        <w:t>handed to agents</w:t>
      </w:r>
      <w:r w:rsidRPr="00572709">
        <w:rPr>
          <w:rFonts w:ascii="Georgia" w:eastAsia="Times New Roman" w:hAnsi="Georgia" w:cs="Times New Roman"/>
          <w:color w:val="242424"/>
          <w:spacing w:val="-1"/>
          <w:kern w:val="0"/>
          <w:sz w:val="30"/>
          <w:szCs w:val="30"/>
          <w14:ligatures w14:val="none"/>
        </w:rPr>
        <w:t>. Because the process lives in the same knowledge graph as the content metadata and the tool library, an agentic system can retrieve, via GraphRAG, both </w:t>
      </w:r>
      <w:r w:rsidRPr="00572709">
        <w:rPr>
          <w:rFonts w:ascii="Georgia" w:eastAsia="Times New Roman" w:hAnsi="Georgia" w:cs="Times New Roman"/>
          <w:i/>
          <w:iCs/>
          <w:color w:val="242424"/>
          <w:spacing w:val="-1"/>
          <w:kern w:val="0"/>
          <w:sz w:val="30"/>
          <w:szCs w:val="30"/>
          <w14:ligatures w14:val="none"/>
        </w:rPr>
        <w:t>what to do</w:t>
      </w:r>
      <w:r w:rsidRPr="00572709">
        <w:rPr>
          <w:rFonts w:ascii="Georgia" w:eastAsia="Times New Roman" w:hAnsi="Georgia" w:cs="Times New Roman"/>
          <w:color w:val="242424"/>
          <w:spacing w:val="-1"/>
          <w:kern w:val="0"/>
          <w:sz w:val="30"/>
          <w:szCs w:val="30"/>
          <w14:ligatures w14:val="none"/>
        </w:rPr>
        <w:t> (the BBO-encoded workflow) and </w:t>
      </w:r>
      <w:r w:rsidRPr="00572709">
        <w:rPr>
          <w:rFonts w:ascii="Georgia" w:eastAsia="Times New Roman" w:hAnsi="Georgia" w:cs="Times New Roman"/>
          <w:i/>
          <w:iCs/>
          <w:color w:val="242424"/>
          <w:spacing w:val="-1"/>
          <w:kern w:val="0"/>
          <w:sz w:val="30"/>
          <w:szCs w:val="30"/>
          <w14:ligatures w14:val="none"/>
        </w:rPr>
        <w:t>the tools to do it with</w:t>
      </w:r>
      <w:r w:rsidRPr="00572709">
        <w:rPr>
          <w:rFonts w:ascii="Georgia" w:eastAsia="Times New Roman" w:hAnsi="Georgia" w:cs="Times New Roman"/>
          <w:color w:val="242424"/>
          <w:spacing w:val="-1"/>
          <w:kern w:val="0"/>
          <w:sz w:val="30"/>
          <w:szCs w:val="30"/>
          <w14:ligatures w14:val="none"/>
        </w:rPr>
        <w:t> (the SPARQL and graph-traversal tools of Section 5.4), and then execute the storage operation autonomously and transparently. BPMN/BBO thus supply the service’s </w:t>
      </w:r>
      <w:r w:rsidRPr="00572709">
        <w:rPr>
          <w:rFonts w:ascii="Georgia" w:eastAsia="Times New Roman" w:hAnsi="Georgia" w:cs="Times New Roman"/>
          <w:b/>
          <w:bCs/>
          <w:color w:val="242424"/>
          <w:spacing w:val="-1"/>
          <w:kern w:val="0"/>
          <w:sz w:val="30"/>
          <w:szCs w:val="30"/>
          <w14:ligatures w14:val="none"/>
        </w:rPr>
        <w:t>encoded, auditable operating procedure</w:t>
      </w:r>
      <w:r w:rsidRPr="00572709">
        <w:rPr>
          <w:rFonts w:ascii="Georgia" w:eastAsia="Times New Roman" w:hAnsi="Georgia" w:cs="Times New Roman"/>
          <w:color w:val="242424"/>
          <w:spacing w:val="-1"/>
          <w:kern w:val="0"/>
          <w:sz w:val="30"/>
          <w:szCs w:val="30"/>
          <w14:ligatures w14:val="none"/>
        </w:rPr>
        <w:t> — the “procedural, agentic knowledge” role of the graph, applied to storage operations.</w:t>
      </w:r>
    </w:p>
    <w:p w14:paraId="49DE3069"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3.7 A production exemplar: Palantir’s Foundry Ontology (semantic + kinetic + agentic)</w:t>
      </w:r>
    </w:p>
    <w:p w14:paraId="6BF404EF"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pattern this paper assembles from open standards — a semantic model joined to an executable action layer and operated by agents — already exists, at enterprise scale, in a proprietary production system: Palantir Foundry’s </w:t>
      </w:r>
      <w:r w:rsidRPr="00572709">
        <w:rPr>
          <w:rFonts w:ascii="Georgia" w:eastAsia="Times New Roman" w:hAnsi="Georgia" w:cs="Times New Roman"/>
          <w:i/>
          <w:iCs/>
          <w:color w:val="242424"/>
          <w:spacing w:val="-1"/>
          <w:kern w:val="0"/>
          <w:sz w:val="30"/>
          <w:szCs w:val="30"/>
          <w14:ligatures w14:val="none"/>
        </w:rPr>
        <w:t>Ontology</w:t>
      </w:r>
      <w:r w:rsidRPr="00572709">
        <w:rPr>
          <w:rFonts w:ascii="Georgia" w:eastAsia="Times New Roman" w:hAnsi="Georgia" w:cs="Times New Roman"/>
          <w:color w:val="242424"/>
          <w:spacing w:val="-1"/>
          <w:kern w:val="0"/>
          <w:sz w:val="30"/>
          <w:szCs w:val="30"/>
          <w14:ligatures w14:val="none"/>
        </w:rPr>
        <w:t>. Because it is the clearest real-world validation of the design’s central bet, it deserves an explicit treatment of both its concept and its implementation.</w:t>
      </w:r>
    </w:p>
    <w:p w14:paraId="0B6E2808"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Concept.</w:t>
      </w:r>
      <w:r w:rsidRPr="00572709">
        <w:rPr>
          <w:rFonts w:ascii="Georgia" w:eastAsia="Times New Roman" w:hAnsi="Georgia" w:cs="Times New Roman"/>
          <w:color w:val="242424"/>
          <w:spacing w:val="-1"/>
          <w:kern w:val="0"/>
          <w:sz w:val="30"/>
          <w:szCs w:val="30"/>
          <w14:ligatures w14:val="none"/>
        </w:rPr>
        <w:t> Palantir describes its Ontology as “an operational layer for the organization” that “sits on top of the digital assets integrated into the Palantir platform” and “connects them to their real-world counterparts,” functioning as a “digital twin of the organization” (Palantir Technologies, n.d.). Its distinctive move — and the reason it matters here — is that it deliberately unifies the two halves that a knowledge graph and a workflow layer supply separately in Section 3: a </w:t>
      </w:r>
      <w:r w:rsidRPr="00572709">
        <w:rPr>
          <w:rFonts w:ascii="Georgia" w:eastAsia="Times New Roman" w:hAnsi="Georgia" w:cs="Times New Roman"/>
          <w:i/>
          <w:iCs/>
          <w:color w:val="242424"/>
          <w:spacing w:val="-1"/>
          <w:kern w:val="0"/>
          <w:sz w:val="30"/>
          <w:szCs w:val="30"/>
          <w14:ligatures w14:val="none"/>
        </w:rPr>
        <w:t>semantic</w:t>
      </w:r>
      <w:r w:rsidRPr="00572709">
        <w:rPr>
          <w:rFonts w:ascii="Georgia" w:eastAsia="Times New Roman" w:hAnsi="Georgia" w:cs="Times New Roman"/>
          <w:color w:val="242424"/>
          <w:spacing w:val="-1"/>
          <w:kern w:val="0"/>
          <w:sz w:val="30"/>
          <w:szCs w:val="30"/>
          <w14:ligatures w14:val="none"/>
        </w:rPr>
        <w:t> layer of things and their relationships, and a </w:t>
      </w:r>
      <w:r w:rsidRPr="00572709">
        <w:rPr>
          <w:rFonts w:ascii="Georgia" w:eastAsia="Times New Roman" w:hAnsi="Georgia" w:cs="Times New Roman"/>
          <w:i/>
          <w:iCs/>
          <w:color w:val="242424"/>
          <w:spacing w:val="-1"/>
          <w:kern w:val="0"/>
          <w:sz w:val="30"/>
          <w:szCs w:val="30"/>
          <w14:ligatures w14:val="none"/>
        </w:rPr>
        <w:t>kinetic</w:t>
      </w:r>
      <w:r w:rsidRPr="00572709">
        <w:rPr>
          <w:rFonts w:ascii="Georgia" w:eastAsia="Times New Roman" w:hAnsi="Georgia" w:cs="Times New Roman"/>
          <w:color w:val="242424"/>
          <w:spacing w:val="-1"/>
          <w:kern w:val="0"/>
          <w:sz w:val="30"/>
          <w:szCs w:val="30"/>
          <w14:ligatures w14:val="none"/>
        </w:rPr>
        <w:t> layer of the actions that change them.</w:t>
      </w:r>
    </w:p>
    <w:p w14:paraId="1C028144"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Implementation.</w:t>
      </w:r>
      <w:r w:rsidRPr="00572709">
        <w:rPr>
          <w:rFonts w:ascii="Georgia" w:eastAsia="Times New Roman" w:hAnsi="Georgia" w:cs="Times New Roman"/>
          <w:color w:val="242424"/>
          <w:spacing w:val="-1"/>
          <w:kern w:val="0"/>
          <w:sz w:val="30"/>
          <w:szCs w:val="30"/>
          <w14:ligatures w14:val="none"/>
        </w:rPr>
        <w:t> The Ontology is built from two families of elements. Its </w:t>
      </w:r>
      <w:r w:rsidRPr="00572709">
        <w:rPr>
          <w:rFonts w:ascii="Georgia" w:eastAsia="Times New Roman" w:hAnsi="Georgia" w:cs="Times New Roman"/>
          <w:b/>
          <w:bCs/>
          <w:color w:val="242424"/>
          <w:spacing w:val="-1"/>
          <w:kern w:val="0"/>
          <w:sz w:val="30"/>
          <w:szCs w:val="30"/>
          <w14:ligatures w14:val="none"/>
        </w:rPr>
        <w:t>semantic elements</w:t>
      </w:r>
      <w:r w:rsidRPr="00572709">
        <w:rPr>
          <w:rFonts w:ascii="Georgia" w:eastAsia="Times New Roman" w:hAnsi="Georgia" w:cs="Times New Roman"/>
          <w:color w:val="242424"/>
          <w:spacing w:val="-1"/>
          <w:kern w:val="0"/>
          <w:sz w:val="30"/>
          <w:szCs w:val="30"/>
          <w14:ligatures w14:val="none"/>
        </w:rPr>
        <w:t> are </w:t>
      </w:r>
      <w:r w:rsidRPr="00572709">
        <w:rPr>
          <w:rFonts w:ascii="Georgia" w:eastAsia="Times New Roman" w:hAnsi="Georgia" w:cs="Times New Roman"/>
          <w:i/>
          <w:iCs/>
          <w:color w:val="242424"/>
          <w:spacing w:val="-1"/>
          <w:kern w:val="0"/>
          <w:sz w:val="30"/>
          <w:szCs w:val="30"/>
          <w14:ligatures w14:val="none"/>
        </w:rPr>
        <w:t>object types</w:t>
      </w:r>
      <w:r w:rsidRPr="00572709">
        <w:rPr>
          <w:rFonts w:ascii="Georgia" w:eastAsia="Times New Roman" w:hAnsi="Georgia" w:cs="Times New Roman"/>
          <w:color w:val="242424"/>
          <w:spacing w:val="-1"/>
          <w:kern w:val="0"/>
          <w:sz w:val="30"/>
          <w:szCs w:val="30"/>
          <w14:ligatures w14:val="none"/>
        </w:rPr>
        <w:t> and </w:t>
      </w:r>
      <w:r w:rsidRPr="00572709">
        <w:rPr>
          <w:rFonts w:ascii="Georgia" w:eastAsia="Times New Roman" w:hAnsi="Georgia" w:cs="Times New Roman"/>
          <w:i/>
          <w:iCs/>
          <w:color w:val="242424"/>
          <w:spacing w:val="-1"/>
          <w:kern w:val="0"/>
          <w:sz w:val="30"/>
          <w:szCs w:val="30"/>
          <w14:ligatures w14:val="none"/>
        </w:rPr>
        <w:t>properties</w:t>
      </w:r>
      <w:r w:rsidRPr="00572709">
        <w:rPr>
          <w:rFonts w:ascii="Georgia" w:eastAsia="Times New Roman" w:hAnsi="Georgia" w:cs="Times New Roman"/>
          <w:color w:val="242424"/>
          <w:spacing w:val="-1"/>
          <w:kern w:val="0"/>
          <w:sz w:val="30"/>
          <w:szCs w:val="30"/>
          <w14:ligatures w14:val="none"/>
        </w:rPr>
        <w:t> — mapping data rows to typed objects (Customer, Order, Aircraft) and columns to properties — and </w:t>
      </w:r>
      <w:r w:rsidRPr="00572709">
        <w:rPr>
          <w:rFonts w:ascii="Georgia" w:eastAsia="Times New Roman" w:hAnsi="Georgia" w:cs="Times New Roman"/>
          <w:i/>
          <w:iCs/>
          <w:color w:val="242424"/>
          <w:spacing w:val="-1"/>
          <w:kern w:val="0"/>
          <w:sz w:val="30"/>
          <w:szCs w:val="30"/>
          <w14:ligatures w14:val="none"/>
        </w:rPr>
        <w:t>link types</w:t>
      </w:r>
      <w:r w:rsidRPr="00572709">
        <w:rPr>
          <w:rFonts w:ascii="Georgia" w:eastAsia="Times New Roman" w:hAnsi="Georgia" w:cs="Times New Roman"/>
          <w:color w:val="242424"/>
          <w:spacing w:val="-1"/>
          <w:kern w:val="0"/>
          <w:sz w:val="30"/>
          <w:szCs w:val="30"/>
          <w14:ligatures w14:val="none"/>
        </w:rPr>
        <w:t> mapping relationships to typed connections; these are, in Palantir’s own framing, the enterprise’s “nouns.” Its </w:t>
      </w:r>
      <w:r w:rsidRPr="00572709">
        <w:rPr>
          <w:rFonts w:ascii="Georgia" w:eastAsia="Times New Roman" w:hAnsi="Georgia" w:cs="Times New Roman"/>
          <w:b/>
          <w:bCs/>
          <w:color w:val="242424"/>
          <w:spacing w:val="-1"/>
          <w:kern w:val="0"/>
          <w:sz w:val="30"/>
          <w:szCs w:val="30"/>
          <w14:ligatures w14:val="none"/>
        </w:rPr>
        <w:t>kinetic elements</w:t>
      </w:r>
      <w:r w:rsidRPr="00572709">
        <w:rPr>
          <w:rFonts w:ascii="Georgia" w:eastAsia="Times New Roman" w:hAnsi="Georgia" w:cs="Times New Roman"/>
          <w:color w:val="242424"/>
          <w:spacing w:val="-1"/>
          <w:kern w:val="0"/>
          <w:sz w:val="30"/>
          <w:szCs w:val="30"/>
          <w14:ligatures w14:val="none"/>
        </w:rPr>
        <w:t> are </w:t>
      </w:r>
      <w:r w:rsidRPr="00572709">
        <w:rPr>
          <w:rFonts w:ascii="Georgia" w:eastAsia="Times New Roman" w:hAnsi="Georgia" w:cs="Times New Roman"/>
          <w:i/>
          <w:iCs/>
          <w:color w:val="242424"/>
          <w:spacing w:val="-1"/>
          <w:kern w:val="0"/>
          <w:sz w:val="30"/>
          <w:szCs w:val="30"/>
          <w14:ligatures w14:val="none"/>
        </w:rPr>
        <w:t>action types</w:t>
      </w:r>
      <w:r w:rsidRPr="00572709">
        <w:rPr>
          <w:rFonts w:ascii="Georgia" w:eastAsia="Times New Roman" w:hAnsi="Georgia" w:cs="Times New Roman"/>
          <w:color w:val="242424"/>
          <w:spacing w:val="-1"/>
          <w:kern w:val="0"/>
          <w:sz w:val="30"/>
          <w:szCs w:val="30"/>
          <w14:ligatures w14:val="none"/>
        </w:rPr>
        <w:t> (which capture operator input and orchestrate decision-making that writes back to source systems), </w:t>
      </w:r>
      <w:r w:rsidRPr="00572709">
        <w:rPr>
          <w:rFonts w:ascii="Georgia" w:eastAsia="Times New Roman" w:hAnsi="Georgia" w:cs="Times New Roman"/>
          <w:i/>
          <w:iCs/>
          <w:color w:val="242424"/>
          <w:spacing w:val="-1"/>
          <w:kern w:val="0"/>
          <w:sz w:val="30"/>
          <w:szCs w:val="30"/>
          <w14:ligatures w14:val="none"/>
        </w:rPr>
        <w:t>functions</w:t>
      </w:r>
      <w:r w:rsidRPr="00572709">
        <w:rPr>
          <w:rFonts w:ascii="Georgia" w:eastAsia="Times New Roman" w:hAnsi="Georgia" w:cs="Times New Roman"/>
          <w:color w:val="242424"/>
          <w:spacing w:val="-1"/>
          <w:kern w:val="0"/>
          <w:sz w:val="30"/>
          <w:szCs w:val="30"/>
          <w14:ligatures w14:val="none"/>
        </w:rPr>
        <w:t> (business logic of arbitrary complexity), </w:t>
      </w:r>
      <w:r w:rsidRPr="00572709">
        <w:rPr>
          <w:rFonts w:ascii="Georgia" w:eastAsia="Times New Roman" w:hAnsi="Georgia" w:cs="Times New Roman"/>
          <w:i/>
          <w:iCs/>
          <w:color w:val="242424"/>
          <w:spacing w:val="-1"/>
          <w:kern w:val="0"/>
          <w:sz w:val="30"/>
          <w:szCs w:val="30"/>
          <w14:ligatures w14:val="none"/>
        </w:rPr>
        <w:t>interfaces</w:t>
      </w:r>
      <w:r w:rsidRPr="00572709">
        <w:rPr>
          <w:rFonts w:ascii="Georgia" w:eastAsia="Times New Roman" w:hAnsi="Georgia" w:cs="Times New Roman"/>
          <w:color w:val="242424"/>
          <w:spacing w:val="-1"/>
          <w:kern w:val="0"/>
          <w:sz w:val="30"/>
          <w:szCs w:val="30"/>
          <w14:ligatures w14:val="none"/>
        </w:rPr>
        <w:t> (polymorphism across object types), and </w:t>
      </w:r>
      <w:r w:rsidRPr="00572709">
        <w:rPr>
          <w:rFonts w:ascii="Georgia" w:eastAsia="Times New Roman" w:hAnsi="Georgia" w:cs="Times New Roman"/>
          <w:i/>
          <w:iCs/>
          <w:color w:val="242424"/>
          <w:spacing w:val="-1"/>
          <w:kern w:val="0"/>
          <w:sz w:val="30"/>
          <w:szCs w:val="30"/>
          <w14:ligatures w14:val="none"/>
        </w:rPr>
        <w:t>dynamic security</w:t>
      </w:r>
      <w:r w:rsidRPr="00572709">
        <w:rPr>
          <w:rFonts w:ascii="Georgia" w:eastAsia="Times New Roman" w:hAnsi="Georgia" w:cs="Times New Roman"/>
          <w:color w:val="242424"/>
          <w:spacing w:val="-1"/>
          <w:kern w:val="0"/>
          <w:sz w:val="30"/>
          <w:szCs w:val="30"/>
          <w14:ligatures w14:val="none"/>
        </w:rPr>
        <w:t>; these are the “verbs.” Palantir’s AI Platform (AIP — Artificial Intelligence Platform) then lets both humans and AI agents operate over this Ontology, so that agents reason and act against a permissioned, typed, real-world model rather than against raw tables.</w:t>
      </w:r>
    </w:p>
    <w:p w14:paraId="2725D6AF"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Relevance to a blockchain storage service.</w:t>
      </w:r>
      <w:r w:rsidRPr="00572709">
        <w:rPr>
          <w:rFonts w:ascii="Georgia" w:eastAsia="Times New Roman" w:hAnsi="Georgia" w:cs="Times New Roman"/>
          <w:color w:val="242424"/>
          <w:spacing w:val="-1"/>
          <w:kern w:val="0"/>
          <w:sz w:val="30"/>
          <w:szCs w:val="30"/>
          <w14:ligatures w14:val="none"/>
        </w:rPr>
        <w:t> Palantir’s Ontology maps almost one-to-one onto the upper layers of our architecture: its semantic elements are our Layer-2 metadata graph (objects, properties, and links ≈ RDF resources, properties, and predicates, governed by OWL/SKOS); its kinetic action types and functions are our Layer-4 storage-lifecycle actions and the agent tool library (the “verbs” that ingest, replicate, verify, and serve); and AIP is our Layer-4 agentic orchestration. The instructive </w:t>
      </w:r>
      <w:r w:rsidRPr="00572709">
        <w:rPr>
          <w:rFonts w:ascii="Georgia" w:eastAsia="Times New Roman" w:hAnsi="Georgia" w:cs="Times New Roman"/>
          <w:i/>
          <w:iCs/>
          <w:color w:val="242424"/>
          <w:spacing w:val="-1"/>
          <w:kern w:val="0"/>
          <w:sz w:val="30"/>
          <w:szCs w:val="30"/>
          <w14:ligatures w14:val="none"/>
        </w:rPr>
        <w:t>difference</w:t>
      </w:r>
      <w:r w:rsidRPr="00572709">
        <w:rPr>
          <w:rFonts w:ascii="Georgia" w:eastAsia="Times New Roman" w:hAnsi="Georgia" w:cs="Times New Roman"/>
          <w:color w:val="242424"/>
          <w:spacing w:val="-1"/>
          <w:kern w:val="0"/>
          <w:sz w:val="30"/>
          <w:szCs w:val="30"/>
          <w14:ligatures w14:val="none"/>
        </w:rPr>
        <w:t> is the substrate and its trust model, and it is precisely the paper’s point of departure. Palantir’s Ontology is a </w:t>
      </w:r>
      <w:r w:rsidRPr="00572709">
        <w:rPr>
          <w:rFonts w:ascii="Georgia" w:eastAsia="Times New Roman" w:hAnsi="Georgia" w:cs="Times New Roman"/>
          <w:i/>
          <w:iCs/>
          <w:color w:val="242424"/>
          <w:spacing w:val="-1"/>
          <w:kern w:val="0"/>
          <w:sz w:val="30"/>
          <w:szCs w:val="30"/>
          <w14:ligatures w14:val="none"/>
        </w:rPr>
        <w:t>centralized, proprietary</w:t>
      </w:r>
      <w:r w:rsidRPr="00572709">
        <w:rPr>
          <w:rFonts w:ascii="Georgia" w:eastAsia="Times New Roman" w:hAnsi="Georgia" w:cs="Times New Roman"/>
          <w:color w:val="242424"/>
          <w:spacing w:val="-1"/>
          <w:kern w:val="0"/>
          <w:sz w:val="30"/>
          <w:szCs w:val="30"/>
          <w14:ligatures w14:val="none"/>
        </w:rPr>
        <w:t> operational layer over an enterprise’s integrated data, trusted because a single operator runs it; the architecture proposed here binds the same semantic-plus-kinetic-plus-agentic pattern to a </w:t>
      </w:r>
      <w:r w:rsidRPr="00572709">
        <w:rPr>
          <w:rFonts w:ascii="Georgia" w:eastAsia="Times New Roman" w:hAnsi="Georgia" w:cs="Times New Roman"/>
          <w:i/>
          <w:iCs/>
          <w:color w:val="242424"/>
          <w:spacing w:val="-1"/>
          <w:kern w:val="0"/>
          <w:sz w:val="30"/>
          <w:szCs w:val="30"/>
          <w14:ligatures w14:val="none"/>
        </w:rPr>
        <w:t>decentralized, content-addressed, cryptographically verifiable</w:t>
      </w:r>
      <w:r w:rsidRPr="00572709">
        <w:rPr>
          <w:rFonts w:ascii="Georgia" w:eastAsia="Times New Roman" w:hAnsi="Georgia" w:cs="Times New Roman"/>
          <w:color w:val="242424"/>
          <w:spacing w:val="-1"/>
          <w:kern w:val="0"/>
          <w:sz w:val="30"/>
          <w:szCs w:val="30"/>
          <w14:ligatures w14:val="none"/>
        </w:rPr>
        <w:t> storage substrate (Section 4) and expresses it in </w:t>
      </w:r>
      <w:r w:rsidRPr="00572709">
        <w:rPr>
          <w:rFonts w:ascii="Georgia" w:eastAsia="Times New Roman" w:hAnsi="Georgia" w:cs="Times New Roman"/>
          <w:i/>
          <w:iCs/>
          <w:color w:val="242424"/>
          <w:spacing w:val="-1"/>
          <w:kern w:val="0"/>
          <w:sz w:val="30"/>
          <w:szCs w:val="30"/>
          <w14:ligatures w14:val="none"/>
        </w:rPr>
        <w:t>open W3C standards</w:t>
      </w:r>
      <w:r w:rsidRPr="00572709">
        <w:rPr>
          <w:rFonts w:ascii="Georgia" w:eastAsia="Times New Roman" w:hAnsi="Georgia" w:cs="Times New Roman"/>
          <w:color w:val="242424"/>
          <w:spacing w:val="-1"/>
          <w:kern w:val="0"/>
          <w:sz w:val="30"/>
          <w:szCs w:val="30"/>
          <w14:ligatures w14:val="none"/>
        </w:rPr>
        <w:t> rather than one vendor’s platform. Palantir thus proves that the upper layers work in production at scale; this article asks what changes when the substrate beneath them is a blockchain storage network rather than a centralized data lake — trading a single trusted operator for cryptographic verifiability, and a proprietary model for open, interoperable standards. The “nouns and verbs” intuition is the same; the ground they stand on is not.</w:t>
      </w:r>
    </w:p>
    <w:p w14:paraId="71A9CE43"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 The Decentralized-Storage Abbreviations (Related Terms)</w:t>
      </w:r>
    </w:p>
    <w:p w14:paraId="1A5AE69D"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To build a </w:t>
      </w:r>
      <w:r w:rsidRPr="00572709">
        <w:rPr>
          <w:rFonts w:ascii="Georgia" w:eastAsia="Times New Roman" w:hAnsi="Georgia" w:cs="Times New Roman"/>
          <w:i/>
          <w:iCs/>
          <w:color w:val="242424"/>
          <w:spacing w:val="-1"/>
          <w:kern w:val="0"/>
          <w:sz w:val="30"/>
          <w:szCs w:val="30"/>
          <w14:ligatures w14:val="none"/>
        </w:rPr>
        <w:t>blockchain</w:t>
      </w:r>
      <w:r w:rsidRPr="00572709">
        <w:rPr>
          <w:rFonts w:ascii="Georgia" w:eastAsia="Times New Roman" w:hAnsi="Georgia" w:cs="Times New Roman"/>
          <w:color w:val="242424"/>
          <w:spacing w:val="-1"/>
          <w:kern w:val="0"/>
          <w:sz w:val="30"/>
          <w:szCs w:val="30"/>
          <w14:ligatures w14:val="none"/>
        </w:rPr>
        <w:t> storage service, the semantic and AI layers of Section 3 need a verifiable substrate to describe and orchestrate. This section introduces, with the same sourcing discipline, the family of decentralized-storage abbreviations that supply that substrate. These are the “related terms” the brief invites.</w:t>
      </w:r>
    </w:p>
    <w:p w14:paraId="2C4DDBB2"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4.1 DLT and blockchain</w:t>
      </w:r>
    </w:p>
    <w:p w14:paraId="41F1FA28"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DLT</w:t>
      </w:r>
      <w:r w:rsidRPr="00572709">
        <w:rPr>
          <w:rFonts w:ascii="Georgia" w:eastAsia="Times New Roman" w:hAnsi="Georgia" w:cs="Times New Roman"/>
          <w:color w:val="242424"/>
          <w:spacing w:val="-1"/>
          <w:kern w:val="0"/>
          <w:sz w:val="30"/>
          <w:szCs w:val="30"/>
          <w14:ligatures w14:val="none"/>
        </w:rPr>
        <w:t> (Distributed Ledger Technology) is the general class of systems in which a shared, append-only record of transactions is maintained across many independent nodes without a central operator; a </w:t>
      </w:r>
      <w:r w:rsidRPr="00572709">
        <w:rPr>
          <w:rFonts w:ascii="Georgia" w:eastAsia="Times New Roman" w:hAnsi="Georgia" w:cs="Times New Roman"/>
          <w:i/>
          <w:iCs/>
          <w:color w:val="242424"/>
          <w:spacing w:val="-1"/>
          <w:kern w:val="0"/>
          <w:sz w:val="30"/>
          <w:szCs w:val="30"/>
          <w14:ligatures w14:val="none"/>
        </w:rPr>
        <w:t>blockchain</w:t>
      </w:r>
      <w:r w:rsidRPr="00572709">
        <w:rPr>
          <w:rFonts w:ascii="Georgia" w:eastAsia="Times New Roman" w:hAnsi="Georgia" w:cs="Times New Roman"/>
          <w:color w:val="242424"/>
          <w:spacing w:val="-1"/>
          <w:kern w:val="0"/>
          <w:sz w:val="30"/>
          <w:szCs w:val="30"/>
          <w14:ligatures w14:val="none"/>
        </w:rPr>
        <w:t> is the best-known DLT, batching transactions into hash-linked blocks secured by a consensus mechanism, as introduced for electronic cash by Nakamoto (2008). For storage, the ledger’s role is not to hold the files — that would be prohibitively expensive — but to hold the </w:t>
      </w:r>
      <w:r w:rsidRPr="00572709">
        <w:rPr>
          <w:rFonts w:ascii="Georgia" w:eastAsia="Times New Roman" w:hAnsi="Georgia" w:cs="Times New Roman"/>
          <w:b/>
          <w:bCs/>
          <w:color w:val="242424"/>
          <w:spacing w:val="-1"/>
          <w:kern w:val="0"/>
          <w:sz w:val="30"/>
          <w:szCs w:val="30"/>
          <w14:ligatures w14:val="none"/>
        </w:rPr>
        <w:t>agreements, proofs, and payments</w:t>
      </w:r>
      <w:r w:rsidRPr="00572709">
        <w:rPr>
          <w:rFonts w:ascii="Georgia" w:eastAsia="Times New Roman" w:hAnsi="Georgia" w:cs="Times New Roman"/>
          <w:color w:val="242424"/>
          <w:spacing w:val="-1"/>
          <w:kern w:val="0"/>
          <w:sz w:val="30"/>
          <w:szCs w:val="30"/>
          <w14:ligatures w14:val="none"/>
        </w:rPr>
        <w:t>: which provider promised to store which content, for how long, and the cryptographic proofs that they did.</w:t>
      </w:r>
    </w:p>
    <w:p w14:paraId="7B1696BC"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w:t>
      </w:r>
      <w:r w:rsidRPr="00572709">
        <w:rPr>
          <w:rFonts w:ascii="Georgia" w:eastAsia="Times New Roman" w:hAnsi="Georgia" w:cs="Times New Roman"/>
          <w:color w:val="242424"/>
          <w:spacing w:val="-1"/>
          <w:kern w:val="0"/>
          <w:sz w:val="30"/>
          <w:szCs w:val="30"/>
          <w14:ligatures w14:val="none"/>
        </w:rPr>
        <w:t> DLT is the service’s </w:t>
      </w:r>
      <w:r w:rsidRPr="00572709">
        <w:rPr>
          <w:rFonts w:ascii="Georgia" w:eastAsia="Times New Roman" w:hAnsi="Georgia" w:cs="Times New Roman"/>
          <w:b/>
          <w:bCs/>
          <w:color w:val="242424"/>
          <w:spacing w:val="-1"/>
          <w:kern w:val="0"/>
          <w:sz w:val="30"/>
          <w:szCs w:val="30"/>
          <w14:ligatures w14:val="none"/>
        </w:rPr>
        <w:t>trust and settlement layer</w:t>
      </w:r>
      <w:r w:rsidRPr="00572709">
        <w:rPr>
          <w:rFonts w:ascii="Georgia" w:eastAsia="Times New Roman" w:hAnsi="Georgia" w:cs="Times New Roman"/>
          <w:color w:val="242424"/>
          <w:spacing w:val="-1"/>
          <w:kern w:val="0"/>
          <w:sz w:val="30"/>
          <w:szCs w:val="30"/>
          <w14:ligatures w14:val="none"/>
        </w:rPr>
        <w:t>. It anchors the commitments (storage deals), records the verifiable proofs of storage over time, and settles payment to providers — enabling a storage market among mutually untrusting parties, which is precisely what distinguishes a </w:t>
      </w:r>
      <w:r w:rsidRPr="00572709">
        <w:rPr>
          <w:rFonts w:ascii="Georgia" w:eastAsia="Times New Roman" w:hAnsi="Georgia" w:cs="Times New Roman"/>
          <w:i/>
          <w:iCs/>
          <w:color w:val="242424"/>
          <w:spacing w:val="-1"/>
          <w:kern w:val="0"/>
          <w:sz w:val="30"/>
          <w:szCs w:val="30"/>
          <w14:ligatures w14:val="none"/>
        </w:rPr>
        <w:t>blockchain</w:t>
      </w:r>
      <w:r w:rsidRPr="00572709">
        <w:rPr>
          <w:rFonts w:ascii="Georgia" w:eastAsia="Times New Roman" w:hAnsi="Georgia" w:cs="Times New Roman"/>
          <w:color w:val="242424"/>
          <w:spacing w:val="-1"/>
          <w:kern w:val="0"/>
          <w:sz w:val="30"/>
          <w:szCs w:val="30"/>
          <w14:ligatures w14:val="none"/>
        </w:rPr>
        <w:t> storage service from a conventional cloud bucket.</w:t>
      </w:r>
    </w:p>
    <w:p w14:paraId="2CA1B212"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4.2 CAS, CID, and DAG — content addressing</w:t>
      </w:r>
    </w:p>
    <w:p w14:paraId="5239151C"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CAS</w:t>
      </w:r>
      <w:r w:rsidRPr="00572709">
        <w:rPr>
          <w:rFonts w:ascii="Georgia" w:eastAsia="Times New Roman" w:hAnsi="Georgia" w:cs="Times New Roman"/>
          <w:color w:val="242424"/>
          <w:spacing w:val="-1"/>
          <w:kern w:val="0"/>
          <w:sz w:val="30"/>
          <w:szCs w:val="30"/>
          <w14:ligatures w14:val="none"/>
        </w:rPr>
        <w:t> (Content-Addressed Storage) names data by a cryptographic hash of its content rather than by a location or filename; the name </w:t>
      </w:r>
      <w:r w:rsidRPr="00572709">
        <w:rPr>
          <w:rFonts w:ascii="Georgia" w:eastAsia="Times New Roman" w:hAnsi="Georgia" w:cs="Times New Roman"/>
          <w:i/>
          <w:iCs/>
          <w:color w:val="242424"/>
          <w:spacing w:val="-1"/>
          <w:kern w:val="0"/>
          <w:sz w:val="30"/>
          <w:szCs w:val="30"/>
          <w14:ligatures w14:val="none"/>
        </w:rPr>
        <w:t>is</w:t>
      </w:r>
      <w:r w:rsidRPr="00572709">
        <w:rPr>
          <w:rFonts w:ascii="Georgia" w:eastAsia="Times New Roman" w:hAnsi="Georgia" w:cs="Times New Roman"/>
          <w:color w:val="242424"/>
          <w:spacing w:val="-1"/>
          <w:kern w:val="0"/>
          <w:sz w:val="30"/>
          <w:szCs w:val="30"/>
          <w14:ligatures w14:val="none"/>
        </w:rPr>
        <w:t> a fingerprint, so any tampering changes the name. A </w:t>
      </w:r>
      <w:r w:rsidRPr="00572709">
        <w:rPr>
          <w:rFonts w:ascii="Georgia" w:eastAsia="Times New Roman" w:hAnsi="Georgia" w:cs="Times New Roman"/>
          <w:b/>
          <w:bCs/>
          <w:color w:val="242424"/>
          <w:spacing w:val="-1"/>
          <w:kern w:val="0"/>
          <w:sz w:val="30"/>
          <w:szCs w:val="30"/>
          <w14:ligatures w14:val="none"/>
        </w:rPr>
        <w:t>CID</w:t>
      </w:r>
      <w:r w:rsidRPr="00572709">
        <w:rPr>
          <w:rFonts w:ascii="Georgia" w:eastAsia="Times New Roman" w:hAnsi="Georgia" w:cs="Times New Roman"/>
          <w:color w:val="242424"/>
          <w:spacing w:val="-1"/>
          <w:kern w:val="0"/>
          <w:sz w:val="30"/>
          <w:szCs w:val="30"/>
          <w14:ligatures w14:val="none"/>
        </w:rPr>
        <w:t> (Content Identifier) is the concrete self-describing content address used by IPFS, encoding the hash and its parameters. Large objects are split into blocks linked into a </w:t>
      </w:r>
      <w:r w:rsidRPr="00572709">
        <w:rPr>
          <w:rFonts w:ascii="Georgia" w:eastAsia="Times New Roman" w:hAnsi="Georgia" w:cs="Times New Roman"/>
          <w:b/>
          <w:bCs/>
          <w:color w:val="242424"/>
          <w:spacing w:val="-1"/>
          <w:kern w:val="0"/>
          <w:sz w:val="30"/>
          <w:szCs w:val="30"/>
          <w14:ligatures w14:val="none"/>
        </w:rPr>
        <w:t>DAG</w:t>
      </w:r>
      <w:r w:rsidRPr="00572709">
        <w:rPr>
          <w:rFonts w:ascii="Georgia" w:eastAsia="Times New Roman" w:hAnsi="Georgia" w:cs="Times New Roman"/>
          <w:color w:val="242424"/>
          <w:spacing w:val="-1"/>
          <w:kern w:val="0"/>
          <w:sz w:val="30"/>
          <w:szCs w:val="30"/>
          <w14:ligatures w14:val="none"/>
        </w:rPr>
        <w:t> (Directed Acyclic Graph) — specifically a </w:t>
      </w:r>
      <w:r w:rsidRPr="00572709">
        <w:rPr>
          <w:rFonts w:ascii="Georgia" w:eastAsia="Times New Roman" w:hAnsi="Georgia" w:cs="Times New Roman"/>
          <w:i/>
          <w:iCs/>
          <w:color w:val="242424"/>
          <w:spacing w:val="-1"/>
          <w:kern w:val="0"/>
          <w:sz w:val="30"/>
          <w:szCs w:val="30"/>
          <w14:ligatures w14:val="none"/>
        </w:rPr>
        <w:t>Merkle DAG</w:t>
      </w:r>
      <w:r w:rsidRPr="00572709">
        <w:rPr>
          <w:rFonts w:ascii="Georgia" w:eastAsia="Times New Roman" w:hAnsi="Georgia" w:cs="Times New Roman"/>
          <w:color w:val="242424"/>
          <w:spacing w:val="-1"/>
          <w:kern w:val="0"/>
          <w:sz w:val="30"/>
          <w:szCs w:val="30"/>
          <w14:ligatures w14:val="none"/>
        </w:rPr>
        <w:t>, in which each node references its children by their hashes — so that a single root CID verifiably commits to the entire object and enables deduplication and partial retrieval.</w:t>
      </w:r>
    </w:p>
    <w:p w14:paraId="72EBB254"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w:t>
      </w:r>
      <w:r w:rsidRPr="00572709">
        <w:rPr>
          <w:rFonts w:ascii="Georgia" w:eastAsia="Times New Roman" w:hAnsi="Georgia" w:cs="Times New Roman"/>
          <w:color w:val="242424"/>
          <w:spacing w:val="-1"/>
          <w:kern w:val="0"/>
          <w:sz w:val="30"/>
          <w:szCs w:val="30"/>
          <w14:ligatures w14:val="none"/>
        </w:rPr>
        <w:t> Content addressing is the service’s </w:t>
      </w:r>
      <w:r w:rsidRPr="00572709">
        <w:rPr>
          <w:rFonts w:ascii="Georgia" w:eastAsia="Times New Roman" w:hAnsi="Georgia" w:cs="Times New Roman"/>
          <w:b/>
          <w:bCs/>
          <w:color w:val="242424"/>
          <w:spacing w:val="-1"/>
          <w:kern w:val="0"/>
          <w:sz w:val="30"/>
          <w:szCs w:val="30"/>
          <w14:ligatures w14:val="none"/>
        </w:rPr>
        <w:t>integrity and identity foundation</w:t>
      </w:r>
      <w:r w:rsidRPr="00572709">
        <w:rPr>
          <w:rFonts w:ascii="Georgia" w:eastAsia="Times New Roman" w:hAnsi="Georgia" w:cs="Times New Roman"/>
          <w:color w:val="242424"/>
          <w:spacing w:val="-1"/>
          <w:kern w:val="0"/>
          <w:sz w:val="30"/>
          <w:szCs w:val="30"/>
          <w14:ligatures w14:val="none"/>
        </w:rPr>
        <w:t>. Because a CID is a hash, retrieving content by CID is self-verifying: the client recomputes the hash and knows immediately whether the bytes are authentic, with no need to trust the provider. This is the property that makes decentralized storage safe, and it is also the </w:t>
      </w:r>
      <w:r w:rsidRPr="00572709">
        <w:rPr>
          <w:rFonts w:ascii="Georgia" w:eastAsia="Times New Roman" w:hAnsi="Georgia" w:cs="Times New Roman"/>
          <w:i/>
          <w:iCs/>
          <w:color w:val="242424"/>
          <w:spacing w:val="-1"/>
          <w:kern w:val="0"/>
          <w:sz w:val="30"/>
          <w:szCs w:val="30"/>
          <w14:ligatures w14:val="none"/>
        </w:rPr>
        <w:t>hook</w:t>
      </w:r>
      <w:r w:rsidRPr="00572709">
        <w:rPr>
          <w:rFonts w:ascii="Georgia" w:eastAsia="Times New Roman" w:hAnsi="Georgia" w:cs="Times New Roman"/>
          <w:color w:val="242424"/>
          <w:spacing w:val="-1"/>
          <w:kern w:val="0"/>
          <w:sz w:val="30"/>
          <w:szCs w:val="30"/>
          <w14:ligatures w14:val="none"/>
        </w:rPr>
        <w:t> on which the entire semantic layer of Section 3 hangs: the subjects of the RDF metadata triples are CIDs, so the meaning layer and the byte layer are bound together by cryptographic identity. The Merkle DAG additionally lets the metadata graph describe </w:t>
      </w:r>
      <w:r w:rsidRPr="00572709">
        <w:rPr>
          <w:rFonts w:ascii="Georgia" w:eastAsia="Times New Roman" w:hAnsi="Georgia" w:cs="Times New Roman"/>
          <w:i/>
          <w:iCs/>
          <w:color w:val="242424"/>
          <w:spacing w:val="-1"/>
          <w:kern w:val="0"/>
          <w:sz w:val="30"/>
          <w:szCs w:val="30"/>
          <w14:ligatures w14:val="none"/>
        </w:rPr>
        <w:t>parts</w:t>
      </w:r>
      <w:r w:rsidRPr="00572709">
        <w:rPr>
          <w:rFonts w:ascii="Georgia" w:eastAsia="Times New Roman" w:hAnsi="Georgia" w:cs="Times New Roman"/>
          <w:color w:val="242424"/>
          <w:spacing w:val="-1"/>
          <w:kern w:val="0"/>
          <w:sz w:val="30"/>
          <w:szCs w:val="30"/>
          <w14:ligatures w14:val="none"/>
        </w:rPr>
        <w:t> of large objects and lets retrieval fetch only the needed blocks.</w:t>
      </w:r>
    </w:p>
    <w:p w14:paraId="57253494"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4.3 IPFS, P2P, and DHT — the distribution layer</w:t>
      </w:r>
    </w:p>
    <w:p w14:paraId="495EF98B"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IPFS</w:t>
      </w:r>
      <w:r w:rsidRPr="00572709">
        <w:rPr>
          <w:rFonts w:ascii="Georgia" w:eastAsia="Times New Roman" w:hAnsi="Georgia" w:cs="Times New Roman"/>
          <w:color w:val="242424"/>
          <w:spacing w:val="-1"/>
          <w:kern w:val="0"/>
          <w:sz w:val="30"/>
          <w:szCs w:val="30"/>
          <w14:ligatures w14:val="none"/>
        </w:rPr>
        <w:t> (InterPlanetary File System), introduced by Benet (2014), is a peer-to-peer distributed file system that combines content addressing, a Merkle DAG object model, and a distributed hash table into a single protocol for storing and retrieving content by CID across a global swarm of nodes. </w:t>
      </w:r>
      <w:r w:rsidRPr="00572709">
        <w:rPr>
          <w:rFonts w:ascii="Georgia" w:eastAsia="Times New Roman" w:hAnsi="Georgia" w:cs="Times New Roman"/>
          <w:b/>
          <w:bCs/>
          <w:color w:val="242424"/>
          <w:spacing w:val="-1"/>
          <w:kern w:val="0"/>
          <w:sz w:val="30"/>
          <w:szCs w:val="30"/>
          <w14:ligatures w14:val="none"/>
        </w:rPr>
        <w:t>P2P</w:t>
      </w:r>
      <w:r w:rsidRPr="00572709">
        <w:rPr>
          <w:rFonts w:ascii="Georgia" w:eastAsia="Times New Roman" w:hAnsi="Georgia" w:cs="Times New Roman"/>
          <w:color w:val="242424"/>
          <w:spacing w:val="-1"/>
          <w:kern w:val="0"/>
          <w:sz w:val="30"/>
          <w:szCs w:val="30"/>
          <w14:ligatures w14:val="none"/>
        </w:rPr>
        <w:t> (Peer-to-Peer) denotes the architecture in which nodes act as both clients and servers, with no central coordinator. A </w:t>
      </w:r>
      <w:r w:rsidRPr="00572709">
        <w:rPr>
          <w:rFonts w:ascii="Georgia" w:eastAsia="Times New Roman" w:hAnsi="Georgia" w:cs="Times New Roman"/>
          <w:b/>
          <w:bCs/>
          <w:color w:val="242424"/>
          <w:spacing w:val="-1"/>
          <w:kern w:val="0"/>
          <w:sz w:val="30"/>
          <w:szCs w:val="30"/>
          <w14:ligatures w14:val="none"/>
        </w:rPr>
        <w:t>DHT</w:t>
      </w:r>
      <w:r w:rsidRPr="00572709">
        <w:rPr>
          <w:rFonts w:ascii="Georgia" w:eastAsia="Times New Roman" w:hAnsi="Georgia" w:cs="Times New Roman"/>
          <w:color w:val="242424"/>
          <w:spacing w:val="-1"/>
          <w:kern w:val="0"/>
          <w:sz w:val="30"/>
          <w:szCs w:val="30"/>
          <w14:ligatures w14:val="none"/>
        </w:rPr>
        <w:t> (Distributed Hash Table) is the decentralized index that maps keys (here, CIDs) to the nodes that hold them; IPFS uses a DHT based on </w:t>
      </w:r>
      <w:r w:rsidRPr="00572709">
        <w:rPr>
          <w:rFonts w:ascii="Georgia" w:eastAsia="Times New Roman" w:hAnsi="Georgia" w:cs="Times New Roman"/>
          <w:b/>
          <w:bCs/>
          <w:color w:val="242424"/>
          <w:spacing w:val="-1"/>
          <w:kern w:val="0"/>
          <w:sz w:val="30"/>
          <w:szCs w:val="30"/>
          <w14:ligatures w14:val="none"/>
        </w:rPr>
        <w:t>Kademlia</w:t>
      </w:r>
      <w:r w:rsidRPr="00572709">
        <w:rPr>
          <w:rFonts w:ascii="Georgia" w:eastAsia="Times New Roman" w:hAnsi="Georgia" w:cs="Times New Roman"/>
          <w:color w:val="242424"/>
          <w:spacing w:val="-1"/>
          <w:kern w:val="0"/>
          <w:sz w:val="30"/>
          <w:szCs w:val="30"/>
          <w14:ligatures w14:val="none"/>
        </w:rPr>
        <w:t> (Maymounkov &amp; Mazières, 2002), whose XOR-metric routing locates content in a logarithmic number of hops.</w:t>
      </w:r>
    </w:p>
    <w:p w14:paraId="5B9812E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w:t>
      </w:r>
      <w:r w:rsidRPr="00572709">
        <w:rPr>
          <w:rFonts w:ascii="Georgia" w:eastAsia="Times New Roman" w:hAnsi="Georgia" w:cs="Times New Roman"/>
          <w:color w:val="242424"/>
          <w:spacing w:val="-1"/>
          <w:kern w:val="0"/>
          <w:sz w:val="30"/>
          <w:szCs w:val="30"/>
          <w14:ligatures w14:val="none"/>
        </w:rPr>
        <w:t> IPFS/P2P/DHT supply the service’s </w:t>
      </w:r>
      <w:r w:rsidRPr="00572709">
        <w:rPr>
          <w:rFonts w:ascii="Georgia" w:eastAsia="Times New Roman" w:hAnsi="Georgia" w:cs="Times New Roman"/>
          <w:b/>
          <w:bCs/>
          <w:color w:val="242424"/>
          <w:spacing w:val="-1"/>
          <w:kern w:val="0"/>
          <w:sz w:val="30"/>
          <w:szCs w:val="30"/>
          <w14:ligatures w14:val="none"/>
        </w:rPr>
        <w:t>distribution and location substrate</w:t>
      </w:r>
      <w:r w:rsidRPr="00572709">
        <w:rPr>
          <w:rFonts w:ascii="Georgia" w:eastAsia="Times New Roman" w:hAnsi="Georgia" w:cs="Times New Roman"/>
          <w:color w:val="242424"/>
          <w:spacing w:val="-1"/>
          <w:kern w:val="0"/>
          <w:sz w:val="30"/>
          <w:szCs w:val="30"/>
          <w14:ligatures w14:val="none"/>
        </w:rPr>
        <w:t> — how content, once addressed by CID, is actually found and moved among nodes without a central directory. The DHT answers “who has the block for this CID?”; the P2P swarm moves the bytes; content addressing guarantees they are the right bytes. In our architecture, the DHT and the SPARQL-queryable knowledge graph are complementary indexes: the DHT indexes </w:t>
      </w:r>
      <w:r w:rsidRPr="00572709">
        <w:rPr>
          <w:rFonts w:ascii="Georgia" w:eastAsia="Times New Roman" w:hAnsi="Georgia" w:cs="Times New Roman"/>
          <w:i/>
          <w:iCs/>
          <w:color w:val="242424"/>
          <w:spacing w:val="-1"/>
          <w:kern w:val="0"/>
          <w:sz w:val="30"/>
          <w:szCs w:val="30"/>
          <w14:ligatures w14:val="none"/>
        </w:rPr>
        <w:t>where the bytes are by hash</w:t>
      </w:r>
      <w:r w:rsidRPr="00572709">
        <w:rPr>
          <w:rFonts w:ascii="Georgia" w:eastAsia="Times New Roman" w:hAnsi="Georgia" w:cs="Times New Roman"/>
          <w:color w:val="242424"/>
          <w:spacing w:val="-1"/>
          <w:kern w:val="0"/>
          <w:sz w:val="30"/>
          <w:szCs w:val="30"/>
          <w14:ligatures w14:val="none"/>
        </w:rPr>
        <w:t>, while the knowledge graph indexes </w:t>
      </w:r>
      <w:r w:rsidRPr="00572709">
        <w:rPr>
          <w:rFonts w:ascii="Georgia" w:eastAsia="Times New Roman" w:hAnsi="Georgia" w:cs="Times New Roman"/>
          <w:i/>
          <w:iCs/>
          <w:color w:val="242424"/>
          <w:spacing w:val="-1"/>
          <w:kern w:val="0"/>
          <w:sz w:val="30"/>
          <w:szCs w:val="30"/>
          <w14:ligatures w14:val="none"/>
        </w:rPr>
        <w:t>what the content means and how it relates</w:t>
      </w:r>
      <w:r w:rsidRPr="00572709">
        <w:rPr>
          <w:rFonts w:ascii="Georgia" w:eastAsia="Times New Roman" w:hAnsi="Georgia" w:cs="Times New Roman"/>
          <w:color w:val="242424"/>
          <w:spacing w:val="-1"/>
          <w:kern w:val="0"/>
          <w:sz w:val="30"/>
          <w:szCs w:val="30"/>
          <w14:ligatures w14:val="none"/>
        </w:rPr>
        <w:t xml:space="preserve">. A discovery query resolves meaning </w:t>
      </w:r>
      <w:r w:rsidRPr="00572709">
        <w:rPr>
          <w:rFonts w:ascii="Times New Roman" w:eastAsia="Times New Roman" w:hAnsi="Times New Roman" w:cs="Times New Roman"/>
          <w:color w:val="242424"/>
          <w:spacing w:val="-1"/>
          <w:kern w:val="0"/>
          <w:sz w:val="30"/>
          <w:szCs w:val="30"/>
          <w14:ligatures w14:val="none"/>
        </w:rPr>
        <w:t>→</w:t>
      </w:r>
      <w:r w:rsidRPr="00572709">
        <w:rPr>
          <w:rFonts w:ascii="Georgia" w:eastAsia="Times New Roman" w:hAnsi="Georgia" w:cs="Times New Roman"/>
          <w:color w:val="242424"/>
          <w:spacing w:val="-1"/>
          <w:kern w:val="0"/>
          <w:sz w:val="30"/>
          <w:szCs w:val="30"/>
          <w14:ligatures w14:val="none"/>
        </w:rPr>
        <w:t xml:space="preserve"> CID in the graph, then CID </w:t>
      </w:r>
      <w:r w:rsidRPr="00572709">
        <w:rPr>
          <w:rFonts w:ascii="Times New Roman" w:eastAsia="Times New Roman" w:hAnsi="Times New Roman" w:cs="Times New Roman"/>
          <w:color w:val="242424"/>
          <w:spacing w:val="-1"/>
          <w:kern w:val="0"/>
          <w:sz w:val="30"/>
          <w:szCs w:val="30"/>
          <w14:ligatures w14:val="none"/>
        </w:rPr>
        <w:t>→</w:t>
      </w:r>
      <w:r w:rsidRPr="00572709">
        <w:rPr>
          <w:rFonts w:ascii="Georgia" w:eastAsia="Times New Roman" w:hAnsi="Georgia" w:cs="Times New Roman"/>
          <w:color w:val="242424"/>
          <w:spacing w:val="-1"/>
          <w:kern w:val="0"/>
          <w:sz w:val="30"/>
          <w:szCs w:val="30"/>
          <w14:ligatures w14:val="none"/>
        </w:rPr>
        <w:t xml:space="preserve"> nodes in the DHT.</w:t>
      </w:r>
    </w:p>
    <w:p w14:paraId="741AE83C"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4.4 DSN, PoRep, PoSt, EC, and FIL — the incentivised guarantee layer</w:t>
      </w:r>
    </w:p>
    <w:p w14:paraId="474C3358"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Distribution alone does not guarantee that anyone will keep storing your data. Filecoin (Protocol Labs, 2017) adds an incentive and verification layer, contributing four of the abbreviations below — DSN, PoRep, PoSt, and FIL. A </w:t>
      </w:r>
      <w:r w:rsidRPr="00572709">
        <w:rPr>
          <w:rFonts w:ascii="Georgia" w:eastAsia="Times New Roman" w:hAnsi="Georgia" w:cs="Times New Roman"/>
          <w:b/>
          <w:bCs/>
          <w:color w:val="242424"/>
          <w:spacing w:val="-1"/>
          <w:kern w:val="0"/>
          <w:sz w:val="30"/>
          <w:szCs w:val="30"/>
          <w14:ligatures w14:val="none"/>
        </w:rPr>
        <w:t>DSN</w:t>
      </w:r>
      <w:r w:rsidRPr="00572709">
        <w:rPr>
          <w:rFonts w:ascii="Georgia" w:eastAsia="Times New Roman" w:hAnsi="Georgia" w:cs="Times New Roman"/>
          <w:color w:val="242424"/>
          <w:spacing w:val="-1"/>
          <w:kern w:val="0"/>
          <w:sz w:val="30"/>
          <w:szCs w:val="30"/>
          <w14:ligatures w14:val="none"/>
        </w:rPr>
        <w:t> (Decentralized Storage Network) is Filecoin’s abstraction for a network of independent providers offering auditable, incentivised storage and retrieval. </w:t>
      </w:r>
      <w:r w:rsidRPr="00572709">
        <w:rPr>
          <w:rFonts w:ascii="Georgia" w:eastAsia="Times New Roman" w:hAnsi="Georgia" w:cs="Times New Roman"/>
          <w:b/>
          <w:bCs/>
          <w:color w:val="242424"/>
          <w:spacing w:val="-1"/>
          <w:kern w:val="0"/>
          <w:sz w:val="30"/>
          <w:szCs w:val="30"/>
          <w14:ligatures w14:val="none"/>
        </w:rPr>
        <w:t>PoRep</w:t>
      </w:r>
      <w:r w:rsidRPr="00572709">
        <w:rPr>
          <w:rFonts w:ascii="Georgia" w:eastAsia="Times New Roman" w:hAnsi="Georgia" w:cs="Times New Roman"/>
          <w:color w:val="242424"/>
          <w:spacing w:val="-1"/>
          <w:kern w:val="0"/>
          <w:sz w:val="30"/>
          <w:szCs w:val="30"/>
          <w14:ligatures w14:val="none"/>
        </w:rPr>
        <w:t> (Proof-of-Replication) is a cryptographic proof by which a provider demonstrates that it is storing a </w:t>
      </w:r>
      <w:r w:rsidRPr="00572709">
        <w:rPr>
          <w:rFonts w:ascii="Georgia" w:eastAsia="Times New Roman" w:hAnsi="Georgia" w:cs="Times New Roman"/>
          <w:i/>
          <w:iCs/>
          <w:color w:val="242424"/>
          <w:spacing w:val="-1"/>
          <w:kern w:val="0"/>
          <w:sz w:val="30"/>
          <w:szCs w:val="30"/>
          <w14:ligatures w14:val="none"/>
        </w:rPr>
        <w:t>unique physical replica</w:t>
      </w:r>
      <w:r w:rsidRPr="00572709">
        <w:rPr>
          <w:rFonts w:ascii="Georgia" w:eastAsia="Times New Roman" w:hAnsi="Georgia" w:cs="Times New Roman"/>
          <w:color w:val="242424"/>
          <w:spacing w:val="-1"/>
          <w:kern w:val="0"/>
          <w:sz w:val="30"/>
          <w:szCs w:val="30"/>
          <w14:ligatures w14:val="none"/>
        </w:rPr>
        <w:t> of the client’s data, defeating attempts to claim payment for data not actually stored. </w:t>
      </w:r>
      <w:r w:rsidRPr="00572709">
        <w:rPr>
          <w:rFonts w:ascii="Georgia" w:eastAsia="Times New Roman" w:hAnsi="Georgia" w:cs="Times New Roman"/>
          <w:b/>
          <w:bCs/>
          <w:color w:val="242424"/>
          <w:spacing w:val="-1"/>
          <w:kern w:val="0"/>
          <w:sz w:val="30"/>
          <w:szCs w:val="30"/>
          <w14:ligatures w14:val="none"/>
        </w:rPr>
        <w:t>PoSt</w:t>
      </w:r>
      <w:r w:rsidRPr="00572709">
        <w:rPr>
          <w:rFonts w:ascii="Georgia" w:eastAsia="Times New Roman" w:hAnsi="Georgia" w:cs="Times New Roman"/>
          <w:color w:val="242424"/>
          <w:spacing w:val="-1"/>
          <w:kern w:val="0"/>
          <w:sz w:val="30"/>
          <w:szCs w:val="30"/>
          <w14:ligatures w14:val="none"/>
        </w:rPr>
        <w:t> (Proof-of-Spacetime) is a proof that the provider has kept storing that replica </w:t>
      </w:r>
      <w:r w:rsidRPr="00572709">
        <w:rPr>
          <w:rFonts w:ascii="Georgia" w:eastAsia="Times New Roman" w:hAnsi="Georgia" w:cs="Times New Roman"/>
          <w:i/>
          <w:iCs/>
          <w:color w:val="242424"/>
          <w:spacing w:val="-1"/>
          <w:kern w:val="0"/>
          <w:sz w:val="30"/>
          <w:szCs w:val="30"/>
          <w14:ligatures w14:val="none"/>
        </w:rPr>
        <w:t>continuously over the agreed time</w:t>
      </w:r>
      <w:r w:rsidRPr="00572709">
        <w:rPr>
          <w:rFonts w:ascii="Georgia" w:eastAsia="Times New Roman" w:hAnsi="Georgia" w:cs="Times New Roman"/>
          <w:color w:val="242424"/>
          <w:spacing w:val="-1"/>
          <w:kern w:val="0"/>
          <w:sz w:val="30"/>
          <w:szCs w:val="30"/>
          <w14:ligatures w14:val="none"/>
        </w:rPr>
        <w:t>, sampled repeatedly so that lapses are detected. </w:t>
      </w:r>
      <w:r w:rsidRPr="00572709">
        <w:rPr>
          <w:rFonts w:ascii="Georgia" w:eastAsia="Times New Roman" w:hAnsi="Georgia" w:cs="Times New Roman"/>
          <w:b/>
          <w:bCs/>
          <w:color w:val="242424"/>
          <w:spacing w:val="-1"/>
          <w:kern w:val="0"/>
          <w:sz w:val="30"/>
          <w:szCs w:val="30"/>
          <w14:ligatures w14:val="none"/>
        </w:rPr>
        <w:t>FIL</w:t>
      </w:r>
      <w:r w:rsidRPr="00572709">
        <w:rPr>
          <w:rFonts w:ascii="Georgia" w:eastAsia="Times New Roman" w:hAnsi="Georgia" w:cs="Times New Roman"/>
          <w:color w:val="242424"/>
          <w:spacing w:val="-1"/>
          <w:kern w:val="0"/>
          <w:sz w:val="30"/>
          <w:szCs w:val="30"/>
          <w14:ligatures w14:val="none"/>
        </w:rPr>
        <w:t> is the Filecoin network’s native token, the unit in which storage is paid for and providers are rewarded and, where they fail their proofs, penalised. Filecoin’s redundancy model is thus </w:t>
      </w:r>
      <w:r w:rsidRPr="00572709">
        <w:rPr>
          <w:rFonts w:ascii="Georgia" w:eastAsia="Times New Roman" w:hAnsi="Georgia" w:cs="Times New Roman"/>
          <w:i/>
          <w:iCs/>
          <w:color w:val="242424"/>
          <w:spacing w:val="-1"/>
          <w:kern w:val="0"/>
          <w:sz w:val="30"/>
          <w:szCs w:val="30"/>
          <w14:ligatures w14:val="none"/>
        </w:rPr>
        <w:t>replication</w:t>
      </w:r>
      <w:r w:rsidRPr="00572709">
        <w:rPr>
          <w:rFonts w:ascii="Georgia" w:eastAsia="Times New Roman" w:hAnsi="Georgia" w:cs="Times New Roman"/>
          <w:color w:val="242424"/>
          <w:spacing w:val="-1"/>
          <w:kern w:val="0"/>
          <w:sz w:val="30"/>
          <w:szCs w:val="30"/>
          <w14:ligatures w14:val="none"/>
        </w:rPr>
        <w:t>-based (a unique physical copy per deal, attested by PoRep). A complementary redundancy technique from the broader decentralized-storage field — used by other named systems such as Storj and Sia (both via Reed-Solomon erasure coding) rather than by Filecoin — is </w:t>
      </w:r>
      <w:r w:rsidRPr="00572709">
        <w:rPr>
          <w:rFonts w:ascii="Georgia" w:eastAsia="Times New Roman" w:hAnsi="Georgia" w:cs="Times New Roman"/>
          <w:b/>
          <w:bCs/>
          <w:color w:val="242424"/>
          <w:spacing w:val="-1"/>
          <w:kern w:val="0"/>
          <w:sz w:val="30"/>
          <w:szCs w:val="30"/>
          <w14:ligatures w14:val="none"/>
        </w:rPr>
        <w:t>EC</w:t>
      </w:r>
      <w:r w:rsidRPr="00572709">
        <w:rPr>
          <w:rFonts w:ascii="Georgia" w:eastAsia="Times New Roman" w:hAnsi="Georgia" w:cs="Times New Roman"/>
          <w:color w:val="242424"/>
          <w:spacing w:val="-1"/>
          <w:kern w:val="0"/>
          <w:sz w:val="30"/>
          <w:szCs w:val="30"/>
          <w14:ligatures w14:val="none"/>
        </w:rPr>
        <w:t> (Erasure Coding): encoding data into </w:t>
      </w:r>
      <w:r w:rsidRPr="00572709">
        <w:rPr>
          <w:rFonts w:ascii="Georgia" w:eastAsia="Times New Roman" w:hAnsi="Georgia" w:cs="Times New Roman"/>
          <w:i/>
          <w:iCs/>
          <w:color w:val="242424"/>
          <w:spacing w:val="-1"/>
          <w:kern w:val="0"/>
          <w:sz w:val="30"/>
          <w:szCs w:val="30"/>
          <w14:ligatures w14:val="none"/>
        </w:rPr>
        <w:t>n</w:t>
      </w:r>
      <w:r w:rsidRPr="00572709">
        <w:rPr>
          <w:rFonts w:ascii="Georgia" w:eastAsia="Times New Roman" w:hAnsi="Georgia" w:cs="Times New Roman"/>
          <w:color w:val="242424"/>
          <w:spacing w:val="-1"/>
          <w:kern w:val="0"/>
          <w:sz w:val="30"/>
          <w:szCs w:val="30"/>
          <w14:ligatures w14:val="none"/>
        </w:rPr>
        <w:t> fragments of which any </w:t>
      </w:r>
      <w:r w:rsidRPr="00572709">
        <w:rPr>
          <w:rFonts w:ascii="Georgia" w:eastAsia="Times New Roman" w:hAnsi="Georgia" w:cs="Times New Roman"/>
          <w:i/>
          <w:iCs/>
          <w:color w:val="242424"/>
          <w:spacing w:val="-1"/>
          <w:kern w:val="0"/>
          <w:sz w:val="30"/>
          <w:szCs w:val="30"/>
          <w14:ligatures w14:val="none"/>
        </w:rPr>
        <w:t>k &lt; n</w:t>
      </w:r>
      <w:r w:rsidRPr="00572709">
        <w:rPr>
          <w:rFonts w:ascii="Georgia" w:eastAsia="Times New Roman" w:hAnsi="Georgia" w:cs="Times New Roman"/>
          <w:color w:val="242424"/>
          <w:spacing w:val="-1"/>
          <w:kern w:val="0"/>
          <w:sz w:val="30"/>
          <w:szCs w:val="30"/>
          <w14:ligatures w14:val="none"/>
        </w:rPr>
        <w:t> suffice to reconstruct it, so that the service survives the loss of some fragments at far lower overhead than full replication.</w:t>
      </w:r>
    </w:p>
    <w:p w14:paraId="515A7FE0"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i/>
          <w:iCs/>
          <w:color w:val="242424"/>
          <w:spacing w:val="-1"/>
          <w:kern w:val="0"/>
          <w:sz w:val="30"/>
          <w:szCs w:val="30"/>
          <w14:ligatures w14:val="none"/>
        </w:rPr>
        <w:t>Contribution.</w:t>
      </w:r>
      <w:r w:rsidRPr="00572709">
        <w:rPr>
          <w:rFonts w:ascii="Georgia" w:eastAsia="Times New Roman" w:hAnsi="Georgia" w:cs="Times New Roman"/>
          <w:color w:val="242424"/>
          <w:spacing w:val="-1"/>
          <w:kern w:val="0"/>
          <w:sz w:val="30"/>
          <w:szCs w:val="30"/>
          <w14:ligatures w14:val="none"/>
        </w:rPr>
        <w:t> This family supplies the service’s </w:t>
      </w:r>
      <w:r w:rsidRPr="00572709">
        <w:rPr>
          <w:rFonts w:ascii="Georgia" w:eastAsia="Times New Roman" w:hAnsi="Georgia" w:cs="Times New Roman"/>
          <w:b/>
          <w:bCs/>
          <w:color w:val="242424"/>
          <w:spacing w:val="-1"/>
          <w:kern w:val="0"/>
          <w:sz w:val="30"/>
          <w:szCs w:val="30"/>
          <w14:ligatures w14:val="none"/>
        </w:rPr>
        <w:t>verifiable durability and economics</w:t>
      </w:r>
      <w:r w:rsidRPr="00572709">
        <w:rPr>
          <w:rFonts w:ascii="Georgia" w:eastAsia="Times New Roman" w:hAnsi="Georgia" w:cs="Times New Roman"/>
          <w:color w:val="242424"/>
          <w:spacing w:val="-1"/>
          <w:kern w:val="0"/>
          <w:sz w:val="30"/>
          <w:szCs w:val="30"/>
          <w14:ligatures w14:val="none"/>
        </w:rPr>
        <w:t>. PoRep and PoSt convert “trust me, your data is stored” into “here is a cryptographic proof, recorded on the ledger, that your unique replica has existed continuously” — the guarantee that a conventional cloud provider gives only by reputation. Erasure coding tunes the cost/durability trade-off. FIL and the DSN market align incentives so that independent, mutually untrusting providers compete to store data honestly. Crucially for our synthesis, the </w:t>
      </w:r>
      <w:r w:rsidRPr="00572709">
        <w:rPr>
          <w:rFonts w:ascii="Georgia" w:eastAsia="Times New Roman" w:hAnsi="Georgia" w:cs="Times New Roman"/>
          <w:i/>
          <w:iCs/>
          <w:color w:val="242424"/>
          <w:spacing w:val="-1"/>
          <w:kern w:val="0"/>
          <w:sz w:val="30"/>
          <w:szCs w:val="30"/>
          <w14:ligatures w14:val="none"/>
        </w:rPr>
        <w:t>outputs</w:t>
      </w:r>
      <w:r w:rsidRPr="00572709">
        <w:rPr>
          <w:rFonts w:ascii="Georgia" w:eastAsia="Times New Roman" w:hAnsi="Georgia" w:cs="Times New Roman"/>
          <w:color w:val="242424"/>
          <w:spacing w:val="-1"/>
          <w:kern w:val="0"/>
          <w:sz w:val="30"/>
          <w:szCs w:val="30"/>
          <w14:ligatures w14:val="none"/>
        </w:rPr>
        <w:t> of this layer — deal identifiers, proof results, provider identities, SLA compliance — are themselves facts that belong in the knowledge graph, where SPARQL can query them and agents can act on them.</w:t>
      </w:r>
    </w:p>
    <w:p w14:paraId="17E8841A"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4.5 Where the metadata lives: the triplestore and its anchoring</w:t>
      </w:r>
    </w:p>
    <w:p w14:paraId="4E20971C"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A question the two families raise together is </w:t>
      </w:r>
      <w:r w:rsidRPr="00572709">
        <w:rPr>
          <w:rFonts w:ascii="Georgia" w:eastAsia="Times New Roman" w:hAnsi="Georgia" w:cs="Times New Roman"/>
          <w:i/>
          <w:iCs/>
          <w:color w:val="242424"/>
          <w:spacing w:val="-1"/>
          <w:kern w:val="0"/>
          <w:sz w:val="30"/>
          <w:szCs w:val="30"/>
          <w14:ligatures w14:val="none"/>
        </w:rPr>
        <w:t>where the knowledge graph itself physically resides</w:t>
      </w:r>
      <w:r w:rsidRPr="00572709">
        <w:rPr>
          <w:rFonts w:ascii="Georgia" w:eastAsia="Times New Roman" w:hAnsi="Georgia" w:cs="Times New Roman"/>
          <w:color w:val="242424"/>
          <w:spacing w:val="-1"/>
          <w:kern w:val="0"/>
          <w:sz w:val="30"/>
          <w:szCs w:val="30"/>
          <w14:ligatures w14:val="none"/>
        </w:rPr>
        <w:t> — a question that sharpens the whole design. The metadata graph is held in a </w:t>
      </w:r>
      <w:r w:rsidRPr="00572709">
        <w:rPr>
          <w:rFonts w:ascii="Georgia" w:eastAsia="Times New Roman" w:hAnsi="Georgia" w:cs="Times New Roman"/>
          <w:b/>
          <w:bCs/>
          <w:color w:val="242424"/>
          <w:spacing w:val="-1"/>
          <w:kern w:val="0"/>
          <w:sz w:val="30"/>
          <w:szCs w:val="30"/>
          <w14:ligatures w14:val="none"/>
        </w:rPr>
        <w:t>triplestore</w:t>
      </w:r>
      <w:r w:rsidRPr="00572709">
        <w:rPr>
          <w:rFonts w:ascii="Georgia" w:eastAsia="Times New Roman" w:hAnsi="Georgia" w:cs="Times New Roman"/>
          <w:color w:val="242424"/>
          <w:spacing w:val="-1"/>
          <w:kern w:val="0"/>
          <w:sz w:val="30"/>
          <w:szCs w:val="30"/>
          <w14:ligatures w14:val="none"/>
        </w:rPr>
        <w:t>, a database optimised for RDF that exposes a SPARQL endpoint; this is a fast, mutable, off-chain component, because discovery must be low-latency and metadata must be updatable as deals renew and policies change. But an off-chain, mutable index sitting above an immutable, content-addressed substrate creates an obvious integrity gap: what stops the metadata from silently diverging from, or misrepresenting, the bytes it describes? Three mechanisms close the gap, and each reuses an abbreviation already in play. First, </w:t>
      </w:r>
      <w:r w:rsidRPr="00572709">
        <w:rPr>
          <w:rFonts w:ascii="Georgia" w:eastAsia="Times New Roman" w:hAnsi="Georgia" w:cs="Times New Roman"/>
          <w:i/>
          <w:iCs/>
          <w:color w:val="242424"/>
          <w:spacing w:val="-1"/>
          <w:kern w:val="0"/>
          <w:sz w:val="30"/>
          <w:szCs w:val="30"/>
          <w14:ligatures w14:val="none"/>
        </w:rPr>
        <w:t>binding by CID</w:t>
      </w:r>
      <w:r w:rsidRPr="00572709">
        <w:rPr>
          <w:rFonts w:ascii="Georgia" w:eastAsia="Times New Roman" w:hAnsi="Georgia" w:cs="Times New Roman"/>
          <w:color w:val="242424"/>
          <w:spacing w:val="-1"/>
          <w:kern w:val="0"/>
          <w:sz w:val="30"/>
          <w:szCs w:val="30"/>
          <w14:ligatures w14:val="none"/>
        </w:rPr>
        <w:t>: because every metadata record’s subject is the content identifier, any claim about content is anchored to a hash that the substrate can verify, so metadata cannot lie about </w:t>
      </w:r>
      <w:r w:rsidRPr="00572709">
        <w:rPr>
          <w:rFonts w:ascii="Georgia" w:eastAsia="Times New Roman" w:hAnsi="Georgia" w:cs="Times New Roman"/>
          <w:i/>
          <w:iCs/>
          <w:color w:val="242424"/>
          <w:spacing w:val="-1"/>
          <w:kern w:val="0"/>
          <w:sz w:val="30"/>
          <w:szCs w:val="30"/>
          <w14:ligatures w14:val="none"/>
        </w:rPr>
        <w:t>which</w:t>
      </w:r>
      <w:r w:rsidRPr="00572709">
        <w:rPr>
          <w:rFonts w:ascii="Georgia" w:eastAsia="Times New Roman" w:hAnsi="Georgia" w:cs="Times New Roman"/>
          <w:color w:val="242424"/>
          <w:spacing w:val="-1"/>
          <w:kern w:val="0"/>
          <w:sz w:val="30"/>
          <w:szCs w:val="30"/>
          <w14:ligatures w14:val="none"/>
        </w:rPr>
        <w:t> bytes it describes. Second, </w:t>
      </w:r>
      <w:r w:rsidRPr="00572709">
        <w:rPr>
          <w:rFonts w:ascii="Georgia" w:eastAsia="Times New Roman" w:hAnsi="Georgia" w:cs="Times New Roman"/>
          <w:i/>
          <w:iCs/>
          <w:color w:val="242424"/>
          <w:spacing w:val="-1"/>
          <w:kern w:val="0"/>
          <w:sz w:val="30"/>
          <w:szCs w:val="30"/>
          <w14:ligatures w14:val="none"/>
        </w:rPr>
        <w:t>periodic anchoring on the DLT</w:t>
      </w:r>
      <w:r w:rsidRPr="00572709">
        <w:rPr>
          <w:rFonts w:ascii="Georgia" w:eastAsia="Times New Roman" w:hAnsi="Georgia" w:cs="Times New Roman"/>
          <w:color w:val="242424"/>
          <w:spacing w:val="-1"/>
          <w:kern w:val="0"/>
          <w:sz w:val="30"/>
          <w:szCs w:val="30"/>
          <w14:ligatures w14:val="none"/>
        </w:rPr>
        <w:t>: the triplestore’s state can itself be snapshotted as a Merkle structure and its root hash committed to the ledger, so that tampering with historical metadata becomes detectable — extending the substrate’s tamper-evidence upward. Third, </w:t>
      </w:r>
      <w:r w:rsidRPr="00572709">
        <w:rPr>
          <w:rFonts w:ascii="Georgia" w:eastAsia="Times New Roman" w:hAnsi="Georgia" w:cs="Times New Roman"/>
          <w:i/>
          <w:iCs/>
          <w:color w:val="242424"/>
          <w:spacing w:val="-1"/>
          <w:kern w:val="0"/>
          <w:sz w:val="30"/>
          <w:szCs w:val="30"/>
          <w14:ligatures w14:val="none"/>
        </w:rPr>
        <w:t>storing the graph in the substrate</w:t>
      </w:r>
      <w:r w:rsidRPr="00572709">
        <w:rPr>
          <w:rFonts w:ascii="Georgia" w:eastAsia="Times New Roman" w:hAnsi="Georgia" w:cs="Times New Roman"/>
          <w:color w:val="242424"/>
          <w:spacing w:val="-1"/>
          <w:kern w:val="0"/>
          <w:sz w:val="30"/>
          <w:szCs w:val="30"/>
          <w14:ligatures w14:val="none"/>
        </w:rPr>
        <w:t>: metadata records, being data, can themselves be written to IPFS and addressed by CID, so the meaning layer inherits the availability and integrity properties of the byte layer. The pragmatic design therefore keeps a fast triplestore for live query while anchoring its integrity to the very substrate it indexes — a concrete instance of the article’s recurring principle that everything, including the description of the data, should ultimately be bound to content-addressed, verifiable identity.</w:t>
      </w:r>
    </w:p>
    <w:p w14:paraId="5351F9D1"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 Synthesis: A Four-Layer Reference Architecture</w:t>
      </w:r>
    </w:p>
    <w:p w14:paraId="0AE9AF4E"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We now assemble every abbreviation into a single reference architecture. The design is a stack of four layers — a verifiable content substrate, a semantic metadata and index layer, a retrieval and reasoning layer, and an agentic orchestration layer — with cross-cutting concerns of trust anchoring, access control, and interface. Table 1 is the consolidated glossary and layer assignment; the prose then traces how the layers cooperate, and Section 5.5 walks a complete store-and-retrieve operation that exercises the entire vocabulary.</w:t>
      </w:r>
    </w:p>
    <w:p w14:paraId="41F6F7C9"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5.1 Layer 1 — the verifiable content substrate</w:t>
      </w:r>
    </w:p>
    <w:p w14:paraId="3A8CB98E"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bottom layer stores and moves the actual bytes and proves it did so. Content is split into a Merkle </w:t>
      </w:r>
      <w:r w:rsidRPr="00572709">
        <w:rPr>
          <w:rFonts w:ascii="Georgia" w:eastAsia="Times New Roman" w:hAnsi="Georgia" w:cs="Times New Roman"/>
          <w:b/>
          <w:bCs/>
          <w:color w:val="242424"/>
          <w:spacing w:val="-1"/>
          <w:kern w:val="0"/>
          <w:sz w:val="30"/>
          <w:szCs w:val="30"/>
          <w14:ligatures w14:val="none"/>
        </w:rPr>
        <w:t>DAG</w:t>
      </w:r>
      <w:r w:rsidRPr="00572709">
        <w:rPr>
          <w:rFonts w:ascii="Georgia" w:eastAsia="Times New Roman" w:hAnsi="Georgia" w:cs="Times New Roman"/>
          <w:color w:val="242424"/>
          <w:spacing w:val="-1"/>
          <w:kern w:val="0"/>
          <w:sz w:val="30"/>
          <w:szCs w:val="30"/>
          <w14:ligatures w14:val="none"/>
        </w:rPr>
        <w:t> of blocks, named by </w:t>
      </w:r>
      <w:r w:rsidRPr="00572709">
        <w:rPr>
          <w:rFonts w:ascii="Georgia" w:eastAsia="Times New Roman" w:hAnsi="Georgia" w:cs="Times New Roman"/>
          <w:b/>
          <w:bCs/>
          <w:color w:val="242424"/>
          <w:spacing w:val="-1"/>
          <w:kern w:val="0"/>
          <w:sz w:val="30"/>
          <w:szCs w:val="30"/>
          <w14:ligatures w14:val="none"/>
        </w:rPr>
        <w:t>CID</w:t>
      </w:r>
      <w:r w:rsidRPr="00572709">
        <w:rPr>
          <w:rFonts w:ascii="Georgia" w:eastAsia="Times New Roman" w:hAnsi="Georgia" w:cs="Times New Roman"/>
          <w:color w:val="242424"/>
          <w:spacing w:val="-1"/>
          <w:kern w:val="0"/>
          <w:sz w:val="30"/>
          <w:szCs w:val="30"/>
          <w14:ligatures w14:val="none"/>
        </w:rPr>
        <w:t> under </w:t>
      </w:r>
      <w:r w:rsidRPr="00572709">
        <w:rPr>
          <w:rFonts w:ascii="Georgia" w:eastAsia="Times New Roman" w:hAnsi="Georgia" w:cs="Times New Roman"/>
          <w:b/>
          <w:bCs/>
          <w:color w:val="242424"/>
          <w:spacing w:val="-1"/>
          <w:kern w:val="0"/>
          <w:sz w:val="30"/>
          <w:szCs w:val="30"/>
          <w14:ligatures w14:val="none"/>
        </w:rPr>
        <w:t>CAS</w:t>
      </w:r>
      <w:r w:rsidRPr="00572709">
        <w:rPr>
          <w:rFonts w:ascii="Georgia" w:eastAsia="Times New Roman" w:hAnsi="Georgia" w:cs="Times New Roman"/>
          <w:color w:val="242424"/>
          <w:spacing w:val="-1"/>
          <w:kern w:val="0"/>
          <w:sz w:val="30"/>
          <w:szCs w:val="30"/>
          <w14:ligatures w14:val="none"/>
        </w:rPr>
        <w:t>, distributed over the </w:t>
      </w:r>
      <w:r w:rsidRPr="00572709">
        <w:rPr>
          <w:rFonts w:ascii="Georgia" w:eastAsia="Times New Roman" w:hAnsi="Georgia" w:cs="Times New Roman"/>
          <w:b/>
          <w:bCs/>
          <w:color w:val="242424"/>
          <w:spacing w:val="-1"/>
          <w:kern w:val="0"/>
          <w:sz w:val="30"/>
          <w:szCs w:val="30"/>
          <w14:ligatures w14:val="none"/>
        </w:rPr>
        <w:t>IPFS</w:t>
      </w:r>
      <w:r w:rsidRPr="00572709">
        <w:rPr>
          <w:rFonts w:ascii="Georgia" w:eastAsia="Times New Roman" w:hAnsi="Georgia" w:cs="Times New Roman"/>
          <w:color w:val="242424"/>
          <w:spacing w:val="-1"/>
          <w:kern w:val="0"/>
          <w:sz w:val="30"/>
          <w:szCs w:val="30"/>
          <w14:ligatures w14:val="none"/>
        </w:rPr>
        <w:t>/</w:t>
      </w:r>
      <w:r w:rsidRPr="00572709">
        <w:rPr>
          <w:rFonts w:ascii="Georgia" w:eastAsia="Times New Roman" w:hAnsi="Georgia" w:cs="Times New Roman"/>
          <w:b/>
          <w:bCs/>
          <w:color w:val="242424"/>
          <w:spacing w:val="-1"/>
          <w:kern w:val="0"/>
          <w:sz w:val="30"/>
          <w:szCs w:val="30"/>
          <w14:ligatures w14:val="none"/>
        </w:rPr>
        <w:t>P2P</w:t>
      </w:r>
      <w:r w:rsidRPr="00572709">
        <w:rPr>
          <w:rFonts w:ascii="Georgia" w:eastAsia="Times New Roman" w:hAnsi="Georgia" w:cs="Times New Roman"/>
          <w:color w:val="242424"/>
          <w:spacing w:val="-1"/>
          <w:kern w:val="0"/>
          <w:sz w:val="30"/>
          <w:szCs w:val="30"/>
          <w14:ligatures w14:val="none"/>
        </w:rPr>
        <w:t> swarm and located via the </w:t>
      </w:r>
      <w:r w:rsidRPr="00572709">
        <w:rPr>
          <w:rFonts w:ascii="Georgia" w:eastAsia="Times New Roman" w:hAnsi="Georgia" w:cs="Times New Roman"/>
          <w:b/>
          <w:bCs/>
          <w:color w:val="242424"/>
          <w:spacing w:val="-1"/>
          <w:kern w:val="0"/>
          <w:sz w:val="30"/>
          <w:szCs w:val="30"/>
          <w14:ligatures w14:val="none"/>
        </w:rPr>
        <w:t>DHT</w:t>
      </w:r>
      <w:r w:rsidRPr="00572709">
        <w:rPr>
          <w:rFonts w:ascii="Georgia" w:eastAsia="Times New Roman" w:hAnsi="Georgia" w:cs="Times New Roman"/>
          <w:color w:val="242424"/>
          <w:spacing w:val="-1"/>
          <w:kern w:val="0"/>
          <w:sz w:val="30"/>
          <w:szCs w:val="30"/>
          <w14:ligatures w14:val="none"/>
        </w:rPr>
        <w:t> (Kademlia). Durability and honesty are guaranteed by the </w:t>
      </w:r>
      <w:r w:rsidRPr="00572709">
        <w:rPr>
          <w:rFonts w:ascii="Georgia" w:eastAsia="Times New Roman" w:hAnsi="Georgia" w:cs="Times New Roman"/>
          <w:b/>
          <w:bCs/>
          <w:color w:val="242424"/>
          <w:spacing w:val="-1"/>
          <w:kern w:val="0"/>
          <w:sz w:val="30"/>
          <w:szCs w:val="30"/>
          <w14:ligatures w14:val="none"/>
        </w:rPr>
        <w:t>DSN</w:t>
      </w:r>
      <w:r w:rsidRPr="00572709">
        <w:rPr>
          <w:rFonts w:ascii="Georgia" w:eastAsia="Times New Roman" w:hAnsi="Georgia" w:cs="Times New Roman"/>
          <w:color w:val="242424"/>
          <w:spacing w:val="-1"/>
          <w:kern w:val="0"/>
          <w:sz w:val="30"/>
          <w:szCs w:val="30"/>
          <w14:ligatures w14:val="none"/>
        </w:rPr>
        <w:t> market with </w:t>
      </w:r>
      <w:r w:rsidRPr="00572709">
        <w:rPr>
          <w:rFonts w:ascii="Georgia" w:eastAsia="Times New Roman" w:hAnsi="Georgia" w:cs="Times New Roman"/>
          <w:b/>
          <w:bCs/>
          <w:color w:val="242424"/>
          <w:spacing w:val="-1"/>
          <w:kern w:val="0"/>
          <w:sz w:val="30"/>
          <w:szCs w:val="30"/>
          <w14:ligatures w14:val="none"/>
        </w:rPr>
        <w:t>PoRep</w:t>
      </w:r>
      <w:r w:rsidRPr="00572709">
        <w:rPr>
          <w:rFonts w:ascii="Georgia" w:eastAsia="Times New Roman" w:hAnsi="Georgia" w:cs="Times New Roman"/>
          <w:color w:val="242424"/>
          <w:spacing w:val="-1"/>
          <w:kern w:val="0"/>
          <w:sz w:val="30"/>
          <w:szCs w:val="30"/>
          <w14:ligatures w14:val="none"/>
        </w:rPr>
        <w:t> and </w:t>
      </w:r>
      <w:r w:rsidRPr="00572709">
        <w:rPr>
          <w:rFonts w:ascii="Georgia" w:eastAsia="Times New Roman" w:hAnsi="Georgia" w:cs="Times New Roman"/>
          <w:b/>
          <w:bCs/>
          <w:color w:val="242424"/>
          <w:spacing w:val="-1"/>
          <w:kern w:val="0"/>
          <w:sz w:val="30"/>
          <w:szCs w:val="30"/>
          <w14:ligatures w14:val="none"/>
        </w:rPr>
        <w:t>PoSt</w:t>
      </w:r>
      <w:r w:rsidRPr="00572709">
        <w:rPr>
          <w:rFonts w:ascii="Georgia" w:eastAsia="Times New Roman" w:hAnsi="Georgia" w:cs="Times New Roman"/>
          <w:color w:val="242424"/>
          <w:spacing w:val="-1"/>
          <w:kern w:val="0"/>
          <w:sz w:val="30"/>
          <w:szCs w:val="30"/>
          <w14:ligatures w14:val="none"/>
        </w:rPr>
        <w:t>, tuned by </w:t>
      </w:r>
      <w:r w:rsidRPr="00572709">
        <w:rPr>
          <w:rFonts w:ascii="Georgia" w:eastAsia="Times New Roman" w:hAnsi="Georgia" w:cs="Times New Roman"/>
          <w:b/>
          <w:bCs/>
          <w:color w:val="242424"/>
          <w:spacing w:val="-1"/>
          <w:kern w:val="0"/>
          <w:sz w:val="30"/>
          <w:szCs w:val="30"/>
          <w14:ligatures w14:val="none"/>
        </w:rPr>
        <w:t>EC</w:t>
      </w:r>
      <w:r w:rsidRPr="00572709">
        <w:rPr>
          <w:rFonts w:ascii="Georgia" w:eastAsia="Times New Roman" w:hAnsi="Georgia" w:cs="Times New Roman"/>
          <w:color w:val="242424"/>
          <w:spacing w:val="-1"/>
          <w:kern w:val="0"/>
          <w:sz w:val="30"/>
          <w:szCs w:val="30"/>
          <w14:ligatures w14:val="none"/>
        </w:rPr>
        <w:t>, paid in </w:t>
      </w:r>
      <w:r w:rsidRPr="00572709">
        <w:rPr>
          <w:rFonts w:ascii="Georgia" w:eastAsia="Times New Roman" w:hAnsi="Georgia" w:cs="Times New Roman"/>
          <w:b/>
          <w:bCs/>
          <w:color w:val="242424"/>
          <w:spacing w:val="-1"/>
          <w:kern w:val="0"/>
          <w:sz w:val="30"/>
          <w:szCs w:val="30"/>
          <w14:ligatures w14:val="none"/>
        </w:rPr>
        <w:t>FIL</w:t>
      </w:r>
      <w:r w:rsidRPr="00572709">
        <w:rPr>
          <w:rFonts w:ascii="Georgia" w:eastAsia="Times New Roman" w:hAnsi="Georgia" w:cs="Times New Roman"/>
          <w:color w:val="242424"/>
          <w:spacing w:val="-1"/>
          <w:kern w:val="0"/>
          <w:sz w:val="30"/>
          <w:szCs w:val="30"/>
          <w14:ligatures w14:val="none"/>
        </w:rPr>
        <w:t>, and anchored on the </w:t>
      </w:r>
      <w:r w:rsidRPr="00572709">
        <w:rPr>
          <w:rFonts w:ascii="Georgia" w:eastAsia="Times New Roman" w:hAnsi="Georgia" w:cs="Times New Roman"/>
          <w:b/>
          <w:bCs/>
          <w:color w:val="242424"/>
          <w:spacing w:val="-1"/>
          <w:kern w:val="0"/>
          <w:sz w:val="30"/>
          <w:szCs w:val="30"/>
          <w14:ligatures w14:val="none"/>
        </w:rPr>
        <w:t>DLT</w:t>
      </w:r>
      <w:r w:rsidRPr="00572709">
        <w:rPr>
          <w:rFonts w:ascii="Georgia" w:eastAsia="Times New Roman" w:hAnsi="Georgia" w:cs="Times New Roman"/>
          <w:color w:val="242424"/>
          <w:spacing w:val="-1"/>
          <w:kern w:val="0"/>
          <w:sz w:val="30"/>
          <w:szCs w:val="30"/>
          <w14:ligatures w14:val="none"/>
        </w:rPr>
        <w:t>/blockchain. This layer’s contract to the layers above is simple and powerful: </w:t>
      </w:r>
      <w:r w:rsidRPr="00572709">
        <w:rPr>
          <w:rFonts w:ascii="Georgia" w:eastAsia="Times New Roman" w:hAnsi="Georgia" w:cs="Times New Roman"/>
          <w:i/>
          <w:iCs/>
          <w:color w:val="242424"/>
          <w:spacing w:val="-1"/>
          <w:kern w:val="0"/>
          <w:sz w:val="30"/>
          <w:szCs w:val="30"/>
          <w14:ligatures w14:val="none"/>
        </w:rPr>
        <w:t>give me a CID, and I will return the exact, verified bytes, or a proof of who was supposed to have them.</w:t>
      </w:r>
    </w:p>
    <w:p w14:paraId="43B746C4"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5.2 Layer 2 — the semantic metadata and index layer</w:t>
      </w:r>
    </w:p>
    <w:p w14:paraId="6922A04C"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second layer describes and governs what the substrate stores. Every CID is the subject of </w:t>
      </w:r>
      <w:r w:rsidRPr="00572709">
        <w:rPr>
          <w:rFonts w:ascii="Georgia" w:eastAsia="Times New Roman" w:hAnsi="Georgia" w:cs="Times New Roman"/>
          <w:b/>
          <w:bCs/>
          <w:color w:val="242424"/>
          <w:spacing w:val="-1"/>
          <w:kern w:val="0"/>
          <w:sz w:val="30"/>
          <w:szCs w:val="30"/>
          <w14:ligatures w14:val="none"/>
        </w:rPr>
        <w:t>RDF</w:t>
      </w:r>
      <w:r w:rsidRPr="00572709">
        <w:rPr>
          <w:rFonts w:ascii="Georgia" w:eastAsia="Times New Roman" w:hAnsi="Georgia" w:cs="Times New Roman"/>
          <w:color w:val="242424"/>
          <w:spacing w:val="-1"/>
          <w:kern w:val="0"/>
          <w:sz w:val="30"/>
          <w:szCs w:val="30"/>
          <w14:ligatures w14:val="none"/>
        </w:rPr>
        <w:t> triples in a </w:t>
      </w:r>
      <w:r w:rsidRPr="00572709">
        <w:rPr>
          <w:rFonts w:ascii="Georgia" w:eastAsia="Times New Roman" w:hAnsi="Georgia" w:cs="Times New Roman"/>
          <w:b/>
          <w:bCs/>
          <w:color w:val="242424"/>
          <w:spacing w:val="-1"/>
          <w:kern w:val="0"/>
          <w:sz w:val="30"/>
          <w:szCs w:val="30"/>
          <w14:ligatures w14:val="none"/>
        </w:rPr>
        <w:t>KG</w:t>
      </w:r>
      <w:r w:rsidRPr="00572709">
        <w:rPr>
          <w:rFonts w:ascii="Georgia" w:eastAsia="Times New Roman" w:hAnsi="Georgia" w:cs="Times New Roman"/>
          <w:color w:val="242424"/>
          <w:spacing w:val="-1"/>
          <w:kern w:val="0"/>
          <w:sz w:val="30"/>
          <w:szCs w:val="30"/>
          <w14:ligatures w14:val="none"/>
        </w:rPr>
        <w:t>, named with </w:t>
      </w:r>
      <w:r w:rsidRPr="00572709">
        <w:rPr>
          <w:rFonts w:ascii="Georgia" w:eastAsia="Times New Roman" w:hAnsi="Georgia" w:cs="Times New Roman"/>
          <w:b/>
          <w:bCs/>
          <w:color w:val="242424"/>
          <w:spacing w:val="-1"/>
          <w:kern w:val="0"/>
          <w:sz w:val="30"/>
          <w:szCs w:val="30"/>
          <w14:ligatures w14:val="none"/>
        </w:rPr>
        <w:t>URIs/IRIs</w:t>
      </w:r>
      <w:r w:rsidRPr="00572709">
        <w:rPr>
          <w:rFonts w:ascii="Georgia" w:eastAsia="Times New Roman" w:hAnsi="Georgia" w:cs="Times New Roman"/>
          <w:color w:val="242424"/>
          <w:spacing w:val="-1"/>
          <w:kern w:val="0"/>
          <w:sz w:val="30"/>
          <w:szCs w:val="30"/>
          <w14:ligatures w14:val="none"/>
        </w:rPr>
        <w:t>, schematised by </w:t>
      </w:r>
      <w:r w:rsidRPr="00572709">
        <w:rPr>
          <w:rFonts w:ascii="Georgia" w:eastAsia="Times New Roman" w:hAnsi="Georgia" w:cs="Times New Roman"/>
          <w:b/>
          <w:bCs/>
          <w:color w:val="242424"/>
          <w:spacing w:val="-1"/>
          <w:kern w:val="0"/>
          <w:sz w:val="30"/>
          <w:szCs w:val="30"/>
          <w14:ligatures w14:val="none"/>
        </w:rPr>
        <w:t>OWL</w:t>
      </w:r>
      <w:r w:rsidRPr="00572709">
        <w:rPr>
          <w:rFonts w:ascii="Georgia" w:eastAsia="Times New Roman" w:hAnsi="Georgia" w:cs="Times New Roman"/>
          <w:color w:val="242424"/>
          <w:spacing w:val="-1"/>
          <w:kern w:val="0"/>
          <w:sz w:val="30"/>
          <w:szCs w:val="30"/>
          <w14:ligatures w14:val="none"/>
        </w:rPr>
        <w:t> classes and </w:t>
      </w:r>
      <w:r w:rsidRPr="00572709">
        <w:rPr>
          <w:rFonts w:ascii="Georgia" w:eastAsia="Times New Roman" w:hAnsi="Georgia" w:cs="Times New Roman"/>
          <w:b/>
          <w:bCs/>
          <w:color w:val="242424"/>
          <w:spacing w:val="-1"/>
          <w:kern w:val="0"/>
          <w:sz w:val="30"/>
          <w:szCs w:val="30"/>
          <w14:ligatures w14:val="none"/>
        </w:rPr>
        <w:t>SKOS</w:t>
      </w:r>
      <w:r w:rsidRPr="00572709">
        <w:rPr>
          <w:rFonts w:ascii="Georgia" w:eastAsia="Times New Roman" w:hAnsi="Georgia" w:cs="Times New Roman"/>
          <w:color w:val="242424"/>
          <w:spacing w:val="-1"/>
          <w:kern w:val="0"/>
          <w:sz w:val="30"/>
          <w:szCs w:val="30"/>
          <w14:ligatures w14:val="none"/>
        </w:rPr>
        <w:t> vocabularies, validated on admission by </w:t>
      </w:r>
      <w:r w:rsidRPr="00572709">
        <w:rPr>
          <w:rFonts w:ascii="Georgia" w:eastAsia="Times New Roman" w:hAnsi="Georgia" w:cs="Times New Roman"/>
          <w:b/>
          <w:bCs/>
          <w:color w:val="242424"/>
          <w:spacing w:val="-1"/>
          <w:kern w:val="0"/>
          <w:sz w:val="30"/>
          <w:szCs w:val="30"/>
          <w14:ligatures w14:val="none"/>
        </w:rPr>
        <w:t>SHACL</w:t>
      </w:r>
      <w:r w:rsidRPr="00572709">
        <w:rPr>
          <w:rFonts w:ascii="Georgia" w:eastAsia="Times New Roman" w:hAnsi="Georgia" w:cs="Times New Roman"/>
          <w:color w:val="242424"/>
          <w:spacing w:val="-1"/>
          <w:kern w:val="0"/>
          <w:sz w:val="30"/>
          <w:szCs w:val="30"/>
          <w14:ligatures w14:val="none"/>
        </w:rPr>
        <w:t>, serialised for developers as </w:t>
      </w:r>
      <w:r w:rsidRPr="00572709">
        <w:rPr>
          <w:rFonts w:ascii="Georgia" w:eastAsia="Times New Roman" w:hAnsi="Georgia" w:cs="Times New Roman"/>
          <w:b/>
          <w:bCs/>
          <w:color w:val="242424"/>
          <w:spacing w:val="-1"/>
          <w:kern w:val="0"/>
          <w:sz w:val="30"/>
          <w:szCs w:val="30"/>
          <w14:ligatures w14:val="none"/>
        </w:rPr>
        <w:t>JSON-LD</w:t>
      </w:r>
      <w:r w:rsidRPr="00572709">
        <w:rPr>
          <w:rFonts w:ascii="Georgia" w:eastAsia="Times New Roman" w:hAnsi="Georgia" w:cs="Times New Roman"/>
          <w:color w:val="242424"/>
          <w:spacing w:val="-1"/>
          <w:kern w:val="0"/>
          <w:sz w:val="30"/>
          <w:szCs w:val="30"/>
          <w14:ligatures w14:val="none"/>
        </w:rPr>
        <w:t>, and queried by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This is where a bag of hashes becomes a governed catalogue: provenance, licence, sensitivity, replication policy, deal status, and inter-object relationships all become queryable facts bound to the content by CID.</w:t>
      </w:r>
    </w:p>
    <w:p w14:paraId="706C6E4E"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5.3 Layer 3 — the retrieval and reasoning layer</w:t>
      </w:r>
    </w:p>
    <w:p w14:paraId="0AD0995B"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third layer makes the stored corpus answerable. </w:t>
      </w:r>
      <w:r w:rsidRPr="00572709">
        <w:rPr>
          <w:rFonts w:ascii="Georgia" w:eastAsia="Times New Roman" w:hAnsi="Georgia" w:cs="Times New Roman"/>
          <w:b/>
          <w:bCs/>
          <w:color w:val="242424"/>
          <w:spacing w:val="-1"/>
          <w:kern w:val="0"/>
          <w:sz w:val="30"/>
          <w:szCs w:val="30"/>
          <w14:ligatures w14:val="none"/>
        </w:rPr>
        <w:t>Embeddings</w:t>
      </w:r>
      <w:r w:rsidRPr="00572709">
        <w:rPr>
          <w:rFonts w:ascii="Georgia" w:eastAsia="Times New Roman" w:hAnsi="Georgia" w:cs="Times New Roman"/>
          <w:color w:val="242424"/>
          <w:spacing w:val="-1"/>
          <w:kern w:val="0"/>
          <w:sz w:val="30"/>
          <w:szCs w:val="30"/>
          <w14:ligatures w14:val="none"/>
        </w:rPr>
        <w:t> index content and metadata by semantic similarity; </w:t>
      </w:r>
      <w:r w:rsidRPr="00572709">
        <w:rPr>
          <w:rFonts w:ascii="Georgia" w:eastAsia="Times New Roman" w:hAnsi="Georgia" w:cs="Times New Roman"/>
          <w:b/>
          <w:bCs/>
          <w:color w:val="242424"/>
          <w:spacing w:val="-1"/>
          <w:kern w:val="0"/>
          <w:sz w:val="30"/>
          <w:szCs w:val="30"/>
          <w14:ligatures w14:val="none"/>
        </w:rPr>
        <w:t>RAG</w:t>
      </w:r>
      <w:r w:rsidRPr="00572709">
        <w:rPr>
          <w:rFonts w:ascii="Georgia" w:eastAsia="Times New Roman" w:hAnsi="Georgia" w:cs="Times New Roman"/>
          <w:color w:val="242424"/>
          <w:spacing w:val="-1"/>
          <w:kern w:val="0"/>
          <w:sz w:val="30"/>
          <w:szCs w:val="30"/>
          <w14:ligatures w14:val="none"/>
        </w:rPr>
        <w:t> grounds an </w:t>
      </w:r>
      <w:r w:rsidRPr="00572709">
        <w:rPr>
          <w:rFonts w:ascii="Georgia" w:eastAsia="Times New Roman" w:hAnsi="Georgia" w:cs="Times New Roman"/>
          <w:b/>
          <w:bCs/>
          <w:color w:val="242424"/>
          <w:spacing w:val="-1"/>
          <w:kern w:val="0"/>
          <w:sz w:val="30"/>
          <w:szCs w:val="30"/>
          <w14:ligatures w14:val="none"/>
        </w:rPr>
        <w:t>LLM</w:t>
      </w:r>
      <w:r w:rsidRPr="00572709">
        <w:rPr>
          <w:rFonts w:ascii="Georgia" w:eastAsia="Times New Roman" w:hAnsi="Georgia" w:cs="Times New Roman"/>
          <w:color w:val="242424"/>
          <w:spacing w:val="-1"/>
          <w:kern w:val="0"/>
          <w:sz w:val="30"/>
          <w:szCs w:val="30"/>
          <w14:ligatures w14:val="none"/>
        </w:rPr>
        <w:t> assistant in the actually-stored objects, retrieving them by CID and citing them; </w:t>
      </w:r>
      <w:r w:rsidRPr="00572709">
        <w:rPr>
          <w:rFonts w:ascii="Georgia" w:eastAsia="Times New Roman" w:hAnsi="Georgia" w:cs="Times New Roman"/>
          <w:b/>
          <w:b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traverses the knowledge graph to answer relational and global questions across many stored objects. This layer turns the storage service from something you </w:t>
      </w:r>
      <w:r w:rsidRPr="00572709">
        <w:rPr>
          <w:rFonts w:ascii="Georgia" w:eastAsia="Times New Roman" w:hAnsi="Georgia" w:cs="Times New Roman"/>
          <w:i/>
          <w:iCs/>
          <w:color w:val="242424"/>
          <w:spacing w:val="-1"/>
          <w:kern w:val="0"/>
          <w:sz w:val="30"/>
          <w:szCs w:val="30"/>
          <w14:ligatures w14:val="none"/>
        </w:rPr>
        <w:t>query by hash</w:t>
      </w:r>
      <w:r w:rsidRPr="00572709">
        <w:rPr>
          <w:rFonts w:ascii="Georgia" w:eastAsia="Times New Roman" w:hAnsi="Georgia" w:cs="Times New Roman"/>
          <w:color w:val="242424"/>
          <w:spacing w:val="-1"/>
          <w:kern w:val="0"/>
          <w:sz w:val="30"/>
          <w:szCs w:val="30"/>
          <w14:ligatures w14:val="none"/>
        </w:rPr>
        <w:t> into something you </w:t>
      </w:r>
      <w:r w:rsidRPr="00572709">
        <w:rPr>
          <w:rFonts w:ascii="Georgia" w:eastAsia="Times New Roman" w:hAnsi="Georgia" w:cs="Times New Roman"/>
          <w:i/>
          <w:iCs/>
          <w:color w:val="242424"/>
          <w:spacing w:val="-1"/>
          <w:kern w:val="0"/>
          <w:sz w:val="30"/>
          <w:szCs w:val="30"/>
          <w14:ligatures w14:val="none"/>
        </w:rPr>
        <w:t>ask in natural language</w:t>
      </w:r>
      <w:r w:rsidRPr="00572709">
        <w:rPr>
          <w:rFonts w:ascii="Georgia" w:eastAsia="Times New Roman" w:hAnsi="Georgia" w:cs="Times New Roman"/>
          <w:color w:val="242424"/>
          <w:spacing w:val="-1"/>
          <w:kern w:val="0"/>
          <w:sz w:val="30"/>
          <w:szCs w:val="30"/>
          <w14:ligatures w14:val="none"/>
        </w:rPr>
        <w:t> and </w:t>
      </w:r>
      <w:r w:rsidRPr="00572709">
        <w:rPr>
          <w:rFonts w:ascii="Georgia" w:eastAsia="Times New Roman" w:hAnsi="Georgia" w:cs="Times New Roman"/>
          <w:i/>
          <w:iCs/>
          <w:color w:val="242424"/>
          <w:spacing w:val="-1"/>
          <w:kern w:val="0"/>
          <w:sz w:val="30"/>
          <w:szCs w:val="30"/>
          <w14:ligatures w14:val="none"/>
        </w:rPr>
        <w:t>reason over relationally</w:t>
      </w:r>
      <w:r w:rsidRPr="00572709">
        <w:rPr>
          <w:rFonts w:ascii="Georgia" w:eastAsia="Times New Roman" w:hAnsi="Georgia" w:cs="Times New Roman"/>
          <w:color w:val="242424"/>
          <w:spacing w:val="-1"/>
          <w:kern w:val="0"/>
          <w:sz w:val="30"/>
          <w:szCs w:val="30"/>
          <w14:ligatures w14:val="none"/>
        </w:rPr>
        <w:t>, without sacrificing verifiability, because every answer resolves to CIDs the substrate can prove.</w:t>
      </w:r>
    </w:p>
    <w:p w14:paraId="7F97E4A3"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5.4 Layer 4 — the agentic orchestration layer</w:t>
      </w:r>
    </w:p>
    <w:p w14:paraId="012B4458"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top layer operates the service autonomously. Storage lifecycle processes are modelled in </w:t>
      </w:r>
      <w:r w:rsidRPr="00572709">
        <w:rPr>
          <w:rFonts w:ascii="Georgia" w:eastAsia="Times New Roman" w:hAnsi="Georgia" w:cs="Times New Roman"/>
          <w:b/>
          <w:bCs/>
          <w:color w:val="242424"/>
          <w:spacing w:val="-1"/>
          <w:kern w:val="0"/>
          <w:sz w:val="30"/>
          <w:szCs w:val="30"/>
          <w14:ligatures w14:val="none"/>
        </w:rPr>
        <w:t>BPMN</w:t>
      </w:r>
      <w:r w:rsidRPr="00572709">
        <w:rPr>
          <w:rFonts w:ascii="Georgia" w:eastAsia="Times New Roman" w:hAnsi="Georgia" w:cs="Times New Roman"/>
          <w:color w:val="242424"/>
          <w:spacing w:val="-1"/>
          <w:kern w:val="0"/>
          <w:sz w:val="30"/>
          <w:szCs w:val="30"/>
          <w14:ligatures w14:val="none"/>
        </w:rPr>
        <w:t>, encoded graph-natively as </w:t>
      </w:r>
      <w:r w:rsidRPr="00572709">
        <w:rPr>
          <w:rFonts w:ascii="Georgia" w:eastAsia="Times New Roman" w:hAnsi="Georgia" w:cs="Times New Roman"/>
          <w:b/>
          <w:bCs/>
          <w:color w:val="242424"/>
          <w:spacing w:val="-1"/>
          <w:kern w:val="0"/>
          <w:sz w:val="30"/>
          <w:szCs w:val="30"/>
          <w14:ligatures w14:val="none"/>
        </w:rPr>
        <w:t>BBO</w:t>
      </w:r>
      <w:r w:rsidRPr="00572709">
        <w:rPr>
          <w:rFonts w:ascii="Georgia" w:eastAsia="Times New Roman" w:hAnsi="Georgia" w:cs="Times New Roman"/>
          <w:color w:val="242424"/>
          <w:spacing w:val="-1"/>
          <w:kern w:val="0"/>
          <w:sz w:val="30"/>
          <w:szCs w:val="30"/>
          <w14:ligatures w14:val="none"/>
        </w:rPr>
        <w:t>, and thereby made available — via </w:t>
      </w:r>
      <w:r w:rsidRPr="00572709">
        <w:rPr>
          <w:rFonts w:ascii="Georgia" w:eastAsia="Times New Roman" w:hAnsi="Georgia" w:cs="Times New Roman"/>
          <w:b/>
          <w:b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 to tool-using </w:t>
      </w:r>
      <w:r w:rsidRPr="00572709">
        <w:rPr>
          <w:rFonts w:ascii="Georgia" w:eastAsia="Times New Roman" w:hAnsi="Georgia" w:cs="Times New Roman"/>
          <w:b/>
          <w:bCs/>
          <w:color w:val="242424"/>
          <w:spacing w:val="-1"/>
          <w:kern w:val="0"/>
          <w:sz w:val="30"/>
          <w:szCs w:val="30"/>
          <w14:ligatures w14:val="none"/>
        </w:rPr>
        <w:t>AI</w:t>
      </w:r>
      <w:r w:rsidRPr="00572709">
        <w:rPr>
          <w:rFonts w:ascii="Georgia" w:eastAsia="Times New Roman" w:hAnsi="Georgia" w:cs="Times New Roman"/>
          <w:color w:val="242424"/>
          <w:spacing w:val="-1"/>
          <w:kern w:val="0"/>
          <w:sz w:val="30"/>
          <w:szCs w:val="30"/>
          <w14:ligatures w14:val="none"/>
        </w:rPr>
        <w:t> agents alongside a library of graph-native tools: retrieving </w:t>
      </w:r>
      <w:r w:rsidRPr="00572709">
        <w:rPr>
          <w:rFonts w:ascii="Georgia" w:eastAsia="Times New Roman" w:hAnsi="Georgia" w:cs="Times New Roman"/>
          <w:b/>
          <w:bCs/>
          <w:color w:val="242424"/>
          <w:spacing w:val="-1"/>
          <w:kern w:val="0"/>
          <w:sz w:val="30"/>
          <w:szCs w:val="30"/>
          <w14:ligatures w14:val="none"/>
        </w:rPr>
        <w:t>OWL</w:t>
      </w:r>
      <w:r w:rsidRPr="00572709">
        <w:rPr>
          <w:rFonts w:ascii="Georgia" w:eastAsia="Times New Roman" w:hAnsi="Georgia" w:cs="Times New Roman"/>
          <w:color w:val="242424"/>
          <w:spacing w:val="-1"/>
          <w:kern w:val="0"/>
          <w:sz w:val="30"/>
          <w:szCs w:val="30"/>
          <w14:ligatures w14:val="none"/>
        </w:rPr>
        <w:t>/</w:t>
      </w:r>
      <w:r w:rsidRPr="00572709">
        <w:rPr>
          <w:rFonts w:ascii="Georgia" w:eastAsia="Times New Roman" w:hAnsi="Georgia" w:cs="Times New Roman"/>
          <w:b/>
          <w:bCs/>
          <w:color w:val="242424"/>
          <w:spacing w:val="-1"/>
          <w:kern w:val="0"/>
          <w:sz w:val="30"/>
          <w:szCs w:val="30"/>
          <w14:ligatures w14:val="none"/>
        </w:rPr>
        <w:t>SKOS</w:t>
      </w:r>
      <w:r w:rsidRPr="00572709">
        <w:rPr>
          <w:rFonts w:ascii="Georgia" w:eastAsia="Times New Roman" w:hAnsi="Georgia" w:cs="Times New Roman"/>
          <w:color w:val="242424"/>
          <w:spacing w:val="-1"/>
          <w:kern w:val="0"/>
          <w:sz w:val="30"/>
          <w:szCs w:val="30"/>
          <w14:ligatures w14:val="none"/>
        </w:rPr>
        <w:t> ontology schemas via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graph search and subgraph extraction, graph traversal, and executing custom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An agent handed the task “ingest and durably store this dataset under policy P” retrieves the BBO-encoded workflow and the tool library from the graph, then drives Layer 1 (chunk, erasure-code, make the DSN deal, await PoRep/PoSt) and Layer 2 (mint and SHACL-validate the metadata, write the deal facts) to completion, transparently and auditably, because both the procedure and its execution trace are graph facts.</w:t>
      </w:r>
    </w:p>
    <w:p w14:paraId="73E9927F"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5.5 Cross-cutting concerns and the end-to-end flow</w:t>
      </w:r>
    </w:p>
    <w:p w14:paraId="62A60A9F"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Three concerns cut across all layers. </w:t>
      </w:r>
      <w:r w:rsidRPr="00572709">
        <w:rPr>
          <w:rFonts w:ascii="Georgia" w:eastAsia="Times New Roman" w:hAnsi="Georgia" w:cs="Times New Roman"/>
          <w:b/>
          <w:bCs/>
          <w:color w:val="242424"/>
          <w:spacing w:val="-1"/>
          <w:kern w:val="0"/>
          <w:sz w:val="30"/>
          <w:szCs w:val="30"/>
          <w14:ligatures w14:val="none"/>
        </w:rPr>
        <w:t>DLT</w:t>
      </w:r>
      <w:r w:rsidRPr="00572709">
        <w:rPr>
          <w:rFonts w:ascii="Georgia" w:eastAsia="Times New Roman" w:hAnsi="Georgia" w:cs="Times New Roman"/>
          <w:color w:val="242424"/>
          <w:spacing w:val="-1"/>
          <w:kern w:val="0"/>
          <w:sz w:val="30"/>
          <w:szCs w:val="30"/>
          <w14:ligatures w14:val="none"/>
        </w:rPr>
        <w:t> anchoring records commitments and proofs so the whole stack is auditable. </w:t>
      </w:r>
      <w:r w:rsidRPr="00572709">
        <w:rPr>
          <w:rFonts w:ascii="Georgia" w:eastAsia="Times New Roman" w:hAnsi="Georgia" w:cs="Times New Roman"/>
          <w:b/>
          <w:bCs/>
          <w:color w:val="242424"/>
          <w:spacing w:val="-1"/>
          <w:kern w:val="0"/>
          <w:sz w:val="30"/>
          <w:szCs w:val="30"/>
          <w14:ligatures w14:val="none"/>
        </w:rPr>
        <w:t>ACL</w:t>
      </w:r>
      <w:r w:rsidRPr="00572709">
        <w:rPr>
          <w:rFonts w:ascii="Georgia" w:eastAsia="Times New Roman" w:hAnsi="Georgia" w:cs="Times New Roman"/>
          <w:color w:val="242424"/>
          <w:spacing w:val="-1"/>
          <w:kern w:val="0"/>
          <w:sz w:val="30"/>
          <w:szCs w:val="30"/>
          <w14:ligatures w14:val="none"/>
        </w:rPr>
        <w:t> (Access Control List) rights, expressed as RDF and enforced at retrieval, govern who may read what. An </w:t>
      </w:r>
      <w:r w:rsidRPr="00572709">
        <w:rPr>
          <w:rFonts w:ascii="Georgia" w:eastAsia="Times New Roman" w:hAnsi="Georgia" w:cs="Times New Roman"/>
          <w:b/>
          <w:bCs/>
          <w:color w:val="242424"/>
          <w:spacing w:val="-1"/>
          <w:kern w:val="0"/>
          <w:sz w:val="30"/>
          <w:szCs w:val="30"/>
          <w14:ligatures w14:val="none"/>
        </w:rPr>
        <w:t>API</w:t>
      </w:r>
      <w:r w:rsidRPr="00572709">
        <w:rPr>
          <w:rFonts w:ascii="Georgia" w:eastAsia="Times New Roman" w:hAnsi="Georgia" w:cs="Times New Roman"/>
          <w:color w:val="242424"/>
          <w:spacing w:val="-1"/>
          <w:kern w:val="0"/>
          <w:sz w:val="30"/>
          <w:szCs w:val="30"/>
          <w14:ligatures w14:val="none"/>
        </w:rPr>
        <w:t> (Application Programming Interface) — with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as its query dialect and content-addressed retrieval as its fetch primitive — exposes the service to clients. </w:t>
      </w:r>
      <w:r w:rsidRPr="00572709">
        <w:rPr>
          <w:rFonts w:ascii="Georgia" w:eastAsia="Times New Roman" w:hAnsi="Georgia" w:cs="Times New Roman"/>
          <w:b/>
          <w:bCs/>
          <w:color w:val="242424"/>
          <w:spacing w:val="-1"/>
          <w:kern w:val="0"/>
          <w:sz w:val="30"/>
          <w:szCs w:val="30"/>
          <w14:ligatures w14:val="none"/>
        </w:rPr>
        <w:t>SLA</w:t>
      </w:r>
      <w:r w:rsidRPr="00572709">
        <w:rPr>
          <w:rFonts w:ascii="Georgia" w:eastAsia="Times New Roman" w:hAnsi="Georgia" w:cs="Times New Roman"/>
          <w:color w:val="242424"/>
          <w:spacing w:val="-1"/>
          <w:kern w:val="0"/>
          <w:sz w:val="30"/>
          <w:szCs w:val="30"/>
          <w14:ligatures w14:val="none"/>
        </w:rPr>
        <w:t> (Service-Level Agreement) terms, encoded in the graph and monitored against PoSt results, define and verify the durability promised.</w:t>
      </w:r>
    </w:p>
    <w:p w14:paraId="16F25E24"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Consider a complete </w:t>
      </w:r>
      <w:r w:rsidRPr="00572709">
        <w:rPr>
          <w:rFonts w:ascii="Georgia" w:eastAsia="Times New Roman" w:hAnsi="Georgia" w:cs="Times New Roman"/>
          <w:b/>
          <w:bCs/>
          <w:color w:val="242424"/>
          <w:spacing w:val="-1"/>
          <w:kern w:val="0"/>
          <w:sz w:val="30"/>
          <w:szCs w:val="30"/>
          <w14:ligatures w14:val="none"/>
        </w:rPr>
        <w:t>store</w:t>
      </w:r>
      <w:r w:rsidRPr="00572709">
        <w:rPr>
          <w:rFonts w:ascii="Georgia" w:eastAsia="Times New Roman" w:hAnsi="Georgia" w:cs="Times New Roman"/>
          <w:color w:val="242424"/>
          <w:spacing w:val="-1"/>
          <w:kern w:val="0"/>
          <w:sz w:val="30"/>
          <w:szCs w:val="30"/>
          <w14:ligatures w14:val="none"/>
        </w:rPr>
        <w:t> operation. A client calls the </w:t>
      </w:r>
      <w:r w:rsidRPr="00572709">
        <w:rPr>
          <w:rFonts w:ascii="Georgia" w:eastAsia="Times New Roman" w:hAnsi="Georgia" w:cs="Times New Roman"/>
          <w:b/>
          <w:bCs/>
          <w:color w:val="242424"/>
          <w:spacing w:val="-1"/>
          <w:kern w:val="0"/>
          <w:sz w:val="30"/>
          <w:szCs w:val="30"/>
          <w14:ligatures w14:val="none"/>
        </w:rPr>
        <w:t>API</w:t>
      </w:r>
      <w:r w:rsidRPr="00572709">
        <w:rPr>
          <w:rFonts w:ascii="Georgia" w:eastAsia="Times New Roman" w:hAnsi="Georgia" w:cs="Times New Roman"/>
          <w:color w:val="242424"/>
          <w:spacing w:val="-1"/>
          <w:kern w:val="0"/>
          <w:sz w:val="30"/>
          <w:szCs w:val="30"/>
          <w14:ligatures w14:val="none"/>
        </w:rPr>
        <w:t> to store a dataset under policy P. An </w:t>
      </w:r>
      <w:r w:rsidRPr="00572709">
        <w:rPr>
          <w:rFonts w:ascii="Georgia" w:eastAsia="Times New Roman" w:hAnsi="Georgia" w:cs="Times New Roman"/>
          <w:b/>
          <w:bCs/>
          <w:color w:val="242424"/>
          <w:spacing w:val="-1"/>
          <w:kern w:val="0"/>
          <w:sz w:val="30"/>
          <w:szCs w:val="30"/>
          <w14:ligatures w14:val="none"/>
        </w:rPr>
        <w:t>AI</w:t>
      </w:r>
      <w:r w:rsidRPr="00572709">
        <w:rPr>
          <w:rFonts w:ascii="Georgia" w:eastAsia="Times New Roman" w:hAnsi="Georgia" w:cs="Times New Roman"/>
          <w:color w:val="242424"/>
          <w:spacing w:val="-1"/>
          <w:kern w:val="0"/>
          <w:sz w:val="30"/>
          <w:szCs w:val="30"/>
          <w14:ligatures w14:val="none"/>
        </w:rPr>
        <w:t> agent (Layer 4) retrieves, via </w:t>
      </w:r>
      <w:r w:rsidRPr="00572709">
        <w:rPr>
          <w:rFonts w:ascii="Georgia" w:eastAsia="Times New Roman" w:hAnsi="Georgia" w:cs="Times New Roman"/>
          <w:b/>
          <w:b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the </w:t>
      </w:r>
      <w:r w:rsidRPr="00572709">
        <w:rPr>
          <w:rFonts w:ascii="Georgia" w:eastAsia="Times New Roman" w:hAnsi="Georgia" w:cs="Times New Roman"/>
          <w:b/>
          <w:bCs/>
          <w:color w:val="242424"/>
          <w:spacing w:val="-1"/>
          <w:kern w:val="0"/>
          <w:sz w:val="30"/>
          <w:szCs w:val="30"/>
          <w14:ligatures w14:val="none"/>
        </w:rPr>
        <w:t>BBO</w:t>
      </w:r>
      <w:r w:rsidRPr="00572709">
        <w:rPr>
          <w:rFonts w:ascii="Georgia" w:eastAsia="Times New Roman" w:hAnsi="Georgia" w:cs="Times New Roman"/>
          <w:color w:val="242424"/>
          <w:spacing w:val="-1"/>
          <w:kern w:val="0"/>
          <w:sz w:val="30"/>
          <w:szCs w:val="30"/>
          <w14:ligatures w14:val="none"/>
        </w:rPr>
        <w:t>/</w:t>
      </w:r>
      <w:r w:rsidRPr="00572709">
        <w:rPr>
          <w:rFonts w:ascii="Georgia" w:eastAsia="Times New Roman" w:hAnsi="Georgia" w:cs="Times New Roman"/>
          <w:b/>
          <w:bCs/>
          <w:color w:val="242424"/>
          <w:spacing w:val="-1"/>
          <w:kern w:val="0"/>
          <w:sz w:val="30"/>
          <w:szCs w:val="30"/>
          <w14:ligatures w14:val="none"/>
        </w:rPr>
        <w:t>BPMN</w:t>
      </w:r>
      <w:r w:rsidRPr="00572709">
        <w:rPr>
          <w:rFonts w:ascii="Georgia" w:eastAsia="Times New Roman" w:hAnsi="Georgia" w:cs="Times New Roman"/>
          <w:color w:val="242424"/>
          <w:spacing w:val="-1"/>
          <w:kern w:val="0"/>
          <w:sz w:val="30"/>
          <w:szCs w:val="30"/>
          <w14:ligatures w14:val="none"/>
        </w:rPr>
        <w:t> ingest workflow and the graph-native tool library. Following the workflow, the substrate (Layer 1) splits the dataset into a Merkle </w:t>
      </w:r>
      <w:r w:rsidRPr="00572709">
        <w:rPr>
          <w:rFonts w:ascii="Georgia" w:eastAsia="Times New Roman" w:hAnsi="Georgia" w:cs="Times New Roman"/>
          <w:b/>
          <w:bCs/>
          <w:color w:val="242424"/>
          <w:spacing w:val="-1"/>
          <w:kern w:val="0"/>
          <w:sz w:val="30"/>
          <w:szCs w:val="30"/>
          <w14:ligatures w14:val="none"/>
        </w:rPr>
        <w:t>DAG</w:t>
      </w:r>
      <w:r w:rsidRPr="00572709">
        <w:rPr>
          <w:rFonts w:ascii="Georgia" w:eastAsia="Times New Roman" w:hAnsi="Georgia" w:cs="Times New Roman"/>
          <w:color w:val="242424"/>
          <w:spacing w:val="-1"/>
          <w:kern w:val="0"/>
          <w:sz w:val="30"/>
          <w:szCs w:val="30"/>
          <w14:ligatures w14:val="none"/>
        </w:rPr>
        <w:t>, computes its root </w:t>
      </w:r>
      <w:r w:rsidRPr="00572709">
        <w:rPr>
          <w:rFonts w:ascii="Georgia" w:eastAsia="Times New Roman" w:hAnsi="Georgia" w:cs="Times New Roman"/>
          <w:b/>
          <w:bCs/>
          <w:color w:val="242424"/>
          <w:spacing w:val="-1"/>
          <w:kern w:val="0"/>
          <w:sz w:val="30"/>
          <w:szCs w:val="30"/>
          <w14:ligatures w14:val="none"/>
        </w:rPr>
        <w:t>CID</w:t>
      </w:r>
      <w:r w:rsidRPr="00572709">
        <w:rPr>
          <w:rFonts w:ascii="Georgia" w:eastAsia="Times New Roman" w:hAnsi="Georgia" w:cs="Times New Roman"/>
          <w:color w:val="242424"/>
          <w:spacing w:val="-1"/>
          <w:kern w:val="0"/>
          <w:sz w:val="30"/>
          <w:szCs w:val="30"/>
          <w14:ligatures w14:val="none"/>
        </w:rPr>
        <w:t> under </w:t>
      </w:r>
      <w:r w:rsidRPr="00572709">
        <w:rPr>
          <w:rFonts w:ascii="Georgia" w:eastAsia="Times New Roman" w:hAnsi="Georgia" w:cs="Times New Roman"/>
          <w:b/>
          <w:bCs/>
          <w:color w:val="242424"/>
          <w:spacing w:val="-1"/>
          <w:kern w:val="0"/>
          <w:sz w:val="30"/>
          <w:szCs w:val="30"/>
          <w14:ligatures w14:val="none"/>
        </w:rPr>
        <w:t>CAS</w:t>
      </w:r>
      <w:r w:rsidRPr="00572709">
        <w:rPr>
          <w:rFonts w:ascii="Georgia" w:eastAsia="Times New Roman" w:hAnsi="Georgia" w:cs="Times New Roman"/>
          <w:color w:val="242424"/>
          <w:spacing w:val="-1"/>
          <w:kern w:val="0"/>
          <w:sz w:val="30"/>
          <w:szCs w:val="30"/>
          <w14:ligatures w14:val="none"/>
        </w:rPr>
        <w:t>, applies </w:t>
      </w:r>
      <w:r w:rsidRPr="00572709">
        <w:rPr>
          <w:rFonts w:ascii="Georgia" w:eastAsia="Times New Roman" w:hAnsi="Georgia" w:cs="Times New Roman"/>
          <w:b/>
          <w:bCs/>
          <w:color w:val="242424"/>
          <w:spacing w:val="-1"/>
          <w:kern w:val="0"/>
          <w:sz w:val="30"/>
          <w:szCs w:val="30"/>
          <w14:ligatures w14:val="none"/>
        </w:rPr>
        <w:t>EC</w:t>
      </w:r>
      <w:r w:rsidRPr="00572709">
        <w:rPr>
          <w:rFonts w:ascii="Georgia" w:eastAsia="Times New Roman" w:hAnsi="Georgia" w:cs="Times New Roman"/>
          <w:color w:val="242424"/>
          <w:spacing w:val="-1"/>
          <w:kern w:val="0"/>
          <w:sz w:val="30"/>
          <w:szCs w:val="30"/>
          <w14:ligatures w14:val="none"/>
        </w:rPr>
        <w:t>, and — through the </w:t>
      </w:r>
      <w:r w:rsidRPr="00572709">
        <w:rPr>
          <w:rFonts w:ascii="Georgia" w:eastAsia="Times New Roman" w:hAnsi="Georgia" w:cs="Times New Roman"/>
          <w:b/>
          <w:bCs/>
          <w:color w:val="242424"/>
          <w:spacing w:val="-1"/>
          <w:kern w:val="0"/>
          <w:sz w:val="30"/>
          <w:szCs w:val="30"/>
          <w14:ligatures w14:val="none"/>
        </w:rPr>
        <w:t>DSN</w:t>
      </w:r>
      <w:r w:rsidRPr="00572709">
        <w:rPr>
          <w:rFonts w:ascii="Georgia" w:eastAsia="Times New Roman" w:hAnsi="Georgia" w:cs="Times New Roman"/>
          <w:color w:val="242424"/>
          <w:spacing w:val="-1"/>
          <w:kern w:val="0"/>
          <w:sz w:val="30"/>
          <w:szCs w:val="30"/>
          <w14:ligatures w14:val="none"/>
        </w:rPr>
        <w:t> market on the </w:t>
      </w:r>
      <w:r w:rsidRPr="00572709">
        <w:rPr>
          <w:rFonts w:ascii="Georgia" w:eastAsia="Times New Roman" w:hAnsi="Georgia" w:cs="Times New Roman"/>
          <w:b/>
          <w:bCs/>
          <w:color w:val="242424"/>
          <w:spacing w:val="-1"/>
          <w:kern w:val="0"/>
          <w:sz w:val="30"/>
          <w:szCs w:val="30"/>
          <w14:ligatures w14:val="none"/>
        </w:rPr>
        <w:t>DLT</w:t>
      </w:r>
      <w:r w:rsidRPr="00572709">
        <w:rPr>
          <w:rFonts w:ascii="Georgia" w:eastAsia="Times New Roman" w:hAnsi="Georgia" w:cs="Times New Roman"/>
          <w:color w:val="242424"/>
          <w:spacing w:val="-1"/>
          <w:kern w:val="0"/>
          <w:sz w:val="30"/>
          <w:szCs w:val="30"/>
          <w14:ligatures w14:val="none"/>
        </w:rPr>
        <w:t> — places storage deals with providers who return </w:t>
      </w:r>
      <w:r w:rsidRPr="00572709">
        <w:rPr>
          <w:rFonts w:ascii="Georgia" w:eastAsia="Times New Roman" w:hAnsi="Georgia" w:cs="Times New Roman"/>
          <w:b/>
          <w:bCs/>
          <w:color w:val="242424"/>
          <w:spacing w:val="-1"/>
          <w:kern w:val="0"/>
          <w:sz w:val="30"/>
          <w:szCs w:val="30"/>
          <w14:ligatures w14:val="none"/>
        </w:rPr>
        <w:t>PoRep</w:t>
      </w:r>
      <w:r w:rsidRPr="00572709">
        <w:rPr>
          <w:rFonts w:ascii="Georgia" w:eastAsia="Times New Roman" w:hAnsi="Georgia" w:cs="Times New Roman"/>
          <w:color w:val="242424"/>
          <w:spacing w:val="-1"/>
          <w:kern w:val="0"/>
          <w:sz w:val="30"/>
          <w:szCs w:val="30"/>
          <w14:ligatures w14:val="none"/>
        </w:rPr>
        <w:t> proofs; ongoing </w:t>
      </w:r>
      <w:r w:rsidRPr="00572709">
        <w:rPr>
          <w:rFonts w:ascii="Georgia" w:eastAsia="Times New Roman" w:hAnsi="Georgia" w:cs="Times New Roman"/>
          <w:b/>
          <w:bCs/>
          <w:color w:val="242424"/>
          <w:spacing w:val="-1"/>
          <w:kern w:val="0"/>
          <w:sz w:val="30"/>
          <w:szCs w:val="30"/>
          <w14:ligatures w14:val="none"/>
        </w:rPr>
        <w:t>PoSt</w:t>
      </w:r>
      <w:r w:rsidRPr="00572709">
        <w:rPr>
          <w:rFonts w:ascii="Georgia" w:eastAsia="Times New Roman" w:hAnsi="Georgia" w:cs="Times New Roman"/>
          <w:color w:val="242424"/>
          <w:spacing w:val="-1"/>
          <w:kern w:val="0"/>
          <w:sz w:val="30"/>
          <w:szCs w:val="30"/>
          <w14:ligatures w14:val="none"/>
        </w:rPr>
        <w:t> proofs will follow, paid in </w:t>
      </w:r>
      <w:r w:rsidRPr="00572709">
        <w:rPr>
          <w:rFonts w:ascii="Georgia" w:eastAsia="Times New Roman" w:hAnsi="Georgia" w:cs="Times New Roman"/>
          <w:b/>
          <w:bCs/>
          <w:color w:val="242424"/>
          <w:spacing w:val="-1"/>
          <w:kern w:val="0"/>
          <w:sz w:val="30"/>
          <w:szCs w:val="30"/>
          <w14:ligatures w14:val="none"/>
        </w:rPr>
        <w:t>FIL</w:t>
      </w:r>
      <w:r w:rsidRPr="00572709">
        <w:rPr>
          <w:rFonts w:ascii="Georgia" w:eastAsia="Times New Roman" w:hAnsi="Georgia" w:cs="Times New Roman"/>
          <w:color w:val="242424"/>
          <w:spacing w:val="-1"/>
          <w:kern w:val="0"/>
          <w:sz w:val="30"/>
          <w:szCs w:val="30"/>
          <w14:ligatures w14:val="none"/>
        </w:rPr>
        <w:t>. The agent then mints </w:t>
      </w:r>
      <w:r w:rsidRPr="00572709">
        <w:rPr>
          <w:rFonts w:ascii="Georgia" w:eastAsia="Times New Roman" w:hAnsi="Georgia" w:cs="Times New Roman"/>
          <w:b/>
          <w:bCs/>
          <w:color w:val="242424"/>
          <w:spacing w:val="-1"/>
          <w:kern w:val="0"/>
          <w:sz w:val="30"/>
          <w:szCs w:val="30"/>
          <w14:ligatures w14:val="none"/>
        </w:rPr>
        <w:t>RDF</w:t>
      </w:r>
      <w:r w:rsidRPr="00572709">
        <w:rPr>
          <w:rFonts w:ascii="Georgia" w:eastAsia="Times New Roman" w:hAnsi="Georgia" w:cs="Times New Roman"/>
          <w:color w:val="242424"/>
          <w:spacing w:val="-1"/>
          <w:kern w:val="0"/>
          <w:sz w:val="30"/>
          <w:szCs w:val="30"/>
          <w14:ligatures w14:val="none"/>
        </w:rPr>
        <w:t> metadata (Layer 2): the CID’s author, licence (a </w:t>
      </w:r>
      <w:r w:rsidRPr="00572709">
        <w:rPr>
          <w:rFonts w:ascii="Georgia" w:eastAsia="Times New Roman" w:hAnsi="Georgia" w:cs="Times New Roman"/>
          <w:b/>
          <w:bCs/>
          <w:color w:val="242424"/>
          <w:spacing w:val="-1"/>
          <w:kern w:val="0"/>
          <w:sz w:val="30"/>
          <w:szCs w:val="30"/>
          <w14:ligatures w14:val="none"/>
        </w:rPr>
        <w:t>SKOS</w:t>
      </w:r>
      <w:r w:rsidRPr="00572709">
        <w:rPr>
          <w:rFonts w:ascii="Georgia" w:eastAsia="Times New Roman" w:hAnsi="Georgia" w:cs="Times New Roman"/>
          <w:color w:val="242424"/>
          <w:spacing w:val="-1"/>
          <w:kern w:val="0"/>
          <w:sz w:val="30"/>
          <w:szCs w:val="30"/>
          <w14:ligatures w14:val="none"/>
        </w:rPr>
        <w:t> concept), schema (an </w:t>
      </w:r>
      <w:r w:rsidRPr="00572709">
        <w:rPr>
          <w:rFonts w:ascii="Georgia" w:eastAsia="Times New Roman" w:hAnsi="Georgia" w:cs="Times New Roman"/>
          <w:b/>
          <w:bCs/>
          <w:color w:val="242424"/>
          <w:spacing w:val="-1"/>
          <w:kern w:val="0"/>
          <w:sz w:val="30"/>
          <w:szCs w:val="30"/>
          <w14:ligatures w14:val="none"/>
        </w:rPr>
        <w:t>OWL</w:t>
      </w:r>
      <w:r w:rsidRPr="00572709">
        <w:rPr>
          <w:rFonts w:ascii="Georgia" w:eastAsia="Times New Roman" w:hAnsi="Georgia" w:cs="Times New Roman"/>
          <w:color w:val="242424"/>
          <w:spacing w:val="-1"/>
          <w:kern w:val="0"/>
          <w:sz w:val="30"/>
          <w:szCs w:val="30"/>
          <w14:ligatures w14:val="none"/>
        </w:rPr>
        <w:t> class), replication factor, deal identifiers, and </w:t>
      </w:r>
      <w:r w:rsidRPr="00572709">
        <w:rPr>
          <w:rFonts w:ascii="Georgia" w:eastAsia="Times New Roman" w:hAnsi="Georgia" w:cs="Times New Roman"/>
          <w:b/>
          <w:bCs/>
          <w:color w:val="242424"/>
          <w:spacing w:val="-1"/>
          <w:kern w:val="0"/>
          <w:sz w:val="30"/>
          <w:szCs w:val="30"/>
          <w14:ligatures w14:val="none"/>
        </w:rPr>
        <w:t>SLA</w:t>
      </w:r>
      <w:r w:rsidRPr="00572709">
        <w:rPr>
          <w:rFonts w:ascii="Georgia" w:eastAsia="Times New Roman" w:hAnsi="Georgia" w:cs="Times New Roman"/>
          <w:color w:val="242424"/>
          <w:spacing w:val="-1"/>
          <w:kern w:val="0"/>
          <w:sz w:val="30"/>
          <w:szCs w:val="30"/>
          <w14:ligatures w14:val="none"/>
        </w:rPr>
        <w:t> terms, serialised as </w:t>
      </w:r>
      <w:r w:rsidRPr="00572709">
        <w:rPr>
          <w:rFonts w:ascii="Georgia" w:eastAsia="Times New Roman" w:hAnsi="Georgia" w:cs="Times New Roman"/>
          <w:b/>
          <w:bCs/>
          <w:color w:val="242424"/>
          <w:spacing w:val="-1"/>
          <w:kern w:val="0"/>
          <w:sz w:val="30"/>
          <w:szCs w:val="30"/>
          <w14:ligatures w14:val="none"/>
        </w:rPr>
        <w:t>JSON-LD</w:t>
      </w:r>
      <w:r w:rsidRPr="00572709">
        <w:rPr>
          <w:rFonts w:ascii="Georgia" w:eastAsia="Times New Roman" w:hAnsi="Georgia" w:cs="Times New Roman"/>
          <w:color w:val="242424"/>
          <w:spacing w:val="-1"/>
          <w:kern w:val="0"/>
          <w:sz w:val="30"/>
          <w:szCs w:val="30"/>
          <w14:ligatures w14:val="none"/>
        </w:rPr>
        <w:t>, validated by </w:t>
      </w:r>
      <w:r w:rsidRPr="00572709">
        <w:rPr>
          <w:rFonts w:ascii="Georgia" w:eastAsia="Times New Roman" w:hAnsi="Georgia" w:cs="Times New Roman"/>
          <w:b/>
          <w:bCs/>
          <w:color w:val="242424"/>
          <w:spacing w:val="-1"/>
          <w:kern w:val="0"/>
          <w:sz w:val="30"/>
          <w:szCs w:val="30"/>
          <w14:ligatures w14:val="none"/>
        </w:rPr>
        <w:t>SHACL</w:t>
      </w:r>
      <w:r w:rsidRPr="00572709">
        <w:rPr>
          <w:rFonts w:ascii="Georgia" w:eastAsia="Times New Roman" w:hAnsi="Georgia" w:cs="Times New Roman"/>
          <w:color w:val="242424"/>
          <w:spacing w:val="-1"/>
          <w:kern w:val="0"/>
          <w:sz w:val="30"/>
          <w:szCs w:val="30"/>
          <w14:ligatures w14:val="none"/>
        </w:rPr>
        <w:t>, and written to the </w:t>
      </w:r>
      <w:r w:rsidRPr="00572709">
        <w:rPr>
          <w:rFonts w:ascii="Georgia" w:eastAsia="Times New Roman" w:hAnsi="Georgia" w:cs="Times New Roman"/>
          <w:b/>
          <w:bCs/>
          <w:color w:val="242424"/>
          <w:spacing w:val="-1"/>
          <w:kern w:val="0"/>
          <w:sz w:val="30"/>
          <w:szCs w:val="30"/>
          <w14:ligatures w14:val="none"/>
        </w:rPr>
        <w:t>KG</w:t>
      </w:r>
      <w:r w:rsidRPr="00572709">
        <w:rPr>
          <w:rFonts w:ascii="Georgia" w:eastAsia="Times New Roman" w:hAnsi="Georgia" w:cs="Times New Roman"/>
          <w:color w:val="242424"/>
          <w:spacing w:val="-1"/>
          <w:kern w:val="0"/>
          <w:sz w:val="30"/>
          <w:szCs w:val="30"/>
          <w14:ligatures w14:val="none"/>
        </w:rPr>
        <w:t> where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can reach it. </w:t>
      </w:r>
      <w:r w:rsidRPr="00572709">
        <w:rPr>
          <w:rFonts w:ascii="Georgia" w:eastAsia="Times New Roman" w:hAnsi="Georgia" w:cs="Times New Roman"/>
          <w:b/>
          <w:bCs/>
          <w:color w:val="242424"/>
          <w:spacing w:val="-1"/>
          <w:kern w:val="0"/>
          <w:sz w:val="30"/>
          <w:szCs w:val="30"/>
          <w14:ligatures w14:val="none"/>
        </w:rPr>
        <w:t>ACL</w:t>
      </w:r>
      <w:r w:rsidRPr="00572709">
        <w:rPr>
          <w:rFonts w:ascii="Georgia" w:eastAsia="Times New Roman" w:hAnsi="Georgia" w:cs="Times New Roman"/>
          <w:color w:val="242424"/>
          <w:spacing w:val="-1"/>
          <w:kern w:val="0"/>
          <w:sz w:val="30"/>
          <w:szCs w:val="30"/>
          <w14:ligatures w14:val="none"/>
        </w:rPr>
        <w:t> triples record who may read it.</w:t>
      </w:r>
    </w:p>
    <w:p w14:paraId="6B123F87"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Now a </w:t>
      </w:r>
      <w:r w:rsidRPr="00572709">
        <w:rPr>
          <w:rFonts w:ascii="Georgia" w:eastAsia="Times New Roman" w:hAnsi="Georgia" w:cs="Times New Roman"/>
          <w:b/>
          <w:bCs/>
          <w:color w:val="242424"/>
          <w:spacing w:val="-1"/>
          <w:kern w:val="0"/>
          <w:sz w:val="30"/>
          <w:szCs w:val="30"/>
          <w14:ligatures w14:val="none"/>
        </w:rPr>
        <w:t>retrieve</w:t>
      </w:r>
      <w:r w:rsidRPr="00572709">
        <w:rPr>
          <w:rFonts w:ascii="Georgia" w:eastAsia="Times New Roman" w:hAnsi="Georgia" w:cs="Times New Roman"/>
          <w:color w:val="242424"/>
          <w:spacing w:val="-1"/>
          <w:kern w:val="0"/>
          <w:sz w:val="30"/>
          <w:szCs w:val="30"/>
          <w14:ligatures w14:val="none"/>
        </w:rPr>
        <w:t> operation. A user asks, in natural language, for “the latest commercially-licensed dataset derived from source S.” The retrieval layer (Layer 3) uses </w:t>
      </w:r>
      <w:r w:rsidRPr="00572709">
        <w:rPr>
          <w:rFonts w:ascii="Georgia" w:eastAsia="Times New Roman" w:hAnsi="Georgia" w:cs="Times New Roman"/>
          <w:b/>
          <w:bCs/>
          <w:color w:val="242424"/>
          <w:spacing w:val="-1"/>
          <w:kern w:val="0"/>
          <w:sz w:val="30"/>
          <w:szCs w:val="30"/>
          <w14:ligatures w14:val="none"/>
        </w:rPr>
        <w:t>embeddings</w:t>
      </w:r>
      <w:r w:rsidRPr="00572709">
        <w:rPr>
          <w:rFonts w:ascii="Georgia" w:eastAsia="Times New Roman" w:hAnsi="Georgia" w:cs="Times New Roman"/>
          <w:color w:val="242424"/>
          <w:spacing w:val="-1"/>
          <w:kern w:val="0"/>
          <w:sz w:val="30"/>
          <w:szCs w:val="30"/>
          <w14:ligatures w14:val="none"/>
        </w:rPr>
        <w:t> and </w:t>
      </w:r>
      <w:r w:rsidRPr="00572709">
        <w:rPr>
          <w:rFonts w:ascii="Georgia" w:eastAsia="Times New Roman" w:hAnsi="Georgia" w:cs="Times New Roman"/>
          <w:b/>
          <w:bCs/>
          <w:color w:val="242424"/>
          <w:spacing w:val="-1"/>
          <w:kern w:val="0"/>
          <w:sz w:val="30"/>
          <w:szCs w:val="30"/>
          <w14:ligatures w14:val="none"/>
        </w:rPr>
        <w:t>GraphRAG</w:t>
      </w:r>
      <w:r w:rsidRPr="00572709">
        <w:rPr>
          <w:rFonts w:ascii="Georgia" w:eastAsia="Times New Roman" w:hAnsi="Georgia" w:cs="Times New Roman"/>
          <w:color w:val="242424"/>
          <w:spacing w:val="-1"/>
          <w:kern w:val="0"/>
          <w:sz w:val="30"/>
          <w:szCs w:val="30"/>
          <w14:ligatures w14:val="none"/>
        </w:rPr>
        <w:t> to interpret the request against the </w:t>
      </w:r>
      <w:r w:rsidRPr="00572709">
        <w:rPr>
          <w:rFonts w:ascii="Georgia" w:eastAsia="Times New Roman" w:hAnsi="Georgia" w:cs="Times New Roman"/>
          <w:b/>
          <w:bCs/>
          <w:color w:val="242424"/>
          <w:spacing w:val="-1"/>
          <w:kern w:val="0"/>
          <w:sz w:val="30"/>
          <w:szCs w:val="30"/>
          <w14:ligatures w14:val="none"/>
        </w:rPr>
        <w:t>KG</w:t>
      </w:r>
      <w:r w:rsidRPr="00572709">
        <w:rPr>
          <w:rFonts w:ascii="Georgia" w:eastAsia="Times New Roman" w:hAnsi="Georgia" w:cs="Times New Roman"/>
          <w:color w:val="242424"/>
          <w:spacing w:val="-1"/>
          <w:kern w:val="0"/>
          <w:sz w:val="30"/>
          <w:szCs w:val="30"/>
          <w14:ligatures w14:val="none"/>
        </w:rPr>
        <w:t>, running </w:t>
      </w:r>
      <w:r w:rsidRPr="00572709">
        <w:rPr>
          <w:rFonts w:ascii="Georgia" w:eastAsia="Times New Roman" w:hAnsi="Georgia" w:cs="Times New Roman"/>
          <w:b/>
          <w:bCs/>
          <w:color w:val="242424"/>
          <w:spacing w:val="-1"/>
          <w:kern w:val="0"/>
          <w:sz w:val="30"/>
          <w:szCs w:val="30"/>
          <w14:ligatures w14:val="none"/>
        </w:rPr>
        <w:t>SPARQL</w:t>
      </w:r>
      <w:r w:rsidRPr="00572709">
        <w:rPr>
          <w:rFonts w:ascii="Georgia" w:eastAsia="Times New Roman" w:hAnsi="Georgia" w:cs="Times New Roman"/>
          <w:color w:val="242424"/>
          <w:spacing w:val="-1"/>
          <w:kern w:val="0"/>
          <w:sz w:val="30"/>
          <w:szCs w:val="30"/>
          <w14:ligatures w14:val="none"/>
        </w:rPr>
        <w:t> graph-pattern and traversal queries to resolve it to a specific </w:t>
      </w:r>
      <w:r w:rsidRPr="00572709">
        <w:rPr>
          <w:rFonts w:ascii="Georgia" w:eastAsia="Times New Roman" w:hAnsi="Georgia" w:cs="Times New Roman"/>
          <w:b/>
          <w:bCs/>
          <w:color w:val="242424"/>
          <w:spacing w:val="-1"/>
          <w:kern w:val="0"/>
          <w:sz w:val="30"/>
          <w:szCs w:val="30"/>
          <w14:ligatures w14:val="none"/>
        </w:rPr>
        <w:t>CID</w:t>
      </w:r>
      <w:r w:rsidRPr="00572709">
        <w:rPr>
          <w:rFonts w:ascii="Georgia" w:eastAsia="Times New Roman" w:hAnsi="Georgia" w:cs="Times New Roman"/>
          <w:color w:val="242424"/>
          <w:spacing w:val="-1"/>
          <w:kern w:val="0"/>
          <w:sz w:val="30"/>
          <w:szCs w:val="30"/>
          <w14:ligatures w14:val="none"/>
        </w:rPr>
        <w:t> whose metadata satisfies the licence and provenance constraints and whose </w:t>
      </w:r>
      <w:r w:rsidRPr="00572709">
        <w:rPr>
          <w:rFonts w:ascii="Georgia" w:eastAsia="Times New Roman" w:hAnsi="Georgia" w:cs="Times New Roman"/>
          <w:b/>
          <w:bCs/>
          <w:color w:val="242424"/>
          <w:spacing w:val="-1"/>
          <w:kern w:val="0"/>
          <w:sz w:val="30"/>
          <w:szCs w:val="30"/>
          <w14:ligatures w14:val="none"/>
        </w:rPr>
        <w:t>ACL</w:t>
      </w:r>
      <w:r w:rsidRPr="00572709">
        <w:rPr>
          <w:rFonts w:ascii="Georgia" w:eastAsia="Times New Roman" w:hAnsi="Georgia" w:cs="Times New Roman"/>
          <w:color w:val="242424"/>
          <w:spacing w:val="-1"/>
          <w:kern w:val="0"/>
          <w:sz w:val="30"/>
          <w:szCs w:val="30"/>
          <w14:ligatures w14:val="none"/>
        </w:rPr>
        <w:t> admits the user. The substrate (Layer 1) then resolves that </w:t>
      </w:r>
      <w:r w:rsidRPr="00572709">
        <w:rPr>
          <w:rFonts w:ascii="Georgia" w:eastAsia="Times New Roman" w:hAnsi="Georgia" w:cs="Times New Roman"/>
          <w:b/>
          <w:bCs/>
          <w:color w:val="242424"/>
          <w:spacing w:val="-1"/>
          <w:kern w:val="0"/>
          <w:sz w:val="30"/>
          <w:szCs w:val="30"/>
          <w14:ligatures w14:val="none"/>
        </w:rPr>
        <w:t>CID</w:t>
      </w:r>
      <w:r w:rsidRPr="00572709">
        <w:rPr>
          <w:rFonts w:ascii="Georgia" w:eastAsia="Times New Roman" w:hAnsi="Georgia" w:cs="Times New Roman"/>
          <w:color w:val="242424"/>
          <w:spacing w:val="-1"/>
          <w:kern w:val="0"/>
          <w:sz w:val="30"/>
          <w:szCs w:val="30"/>
          <w14:ligatures w14:val="none"/>
        </w:rPr>
        <w:t> through the </w:t>
      </w:r>
      <w:r w:rsidRPr="00572709">
        <w:rPr>
          <w:rFonts w:ascii="Georgia" w:eastAsia="Times New Roman" w:hAnsi="Georgia" w:cs="Times New Roman"/>
          <w:b/>
          <w:bCs/>
          <w:color w:val="242424"/>
          <w:spacing w:val="-1"/>
          <w:kern w:val="0"/>
          <w:sz w:val="30"/>
          <w:szCs w:val="30"/>
          <w14:ligatures w14:val="none"/>
        </w:rPr>
        <w:t>DHT</w:t>
      </w:r>
      <w:r w:rsidRPr="00572709">
        <w:rPr>
          <w:rFonts w:ascii="Georgia" w:eastAsia="Times New Roman" w:hAnsi="Georgia" w:cs="Times New Roman"/>
          <w:color w:val="242424"/>
          <w:spacing w:val="-1"/>
          <w:kern w:val="0"/>
          <w:sz w:val="30"/>
          <w:szCs w:val="30"/>
          <w14:ligatures w14:val="none"/>
        </w:rPr>
        <w:t> to the nodes holding it, fetches the Merkle-</w:t>
      </w:r>
      <w:r w:rsidRPr="00572709">
        <w:rPr>
          <w:rFonts w:ascii="Georgia" w:eastAsia="Times New Roman" w:hAnsi="Georgia" w:cs="Times New Roman"/>
          <w:b/>
          <w:bCs/>
          <w:color w:val="242424"/>
          <w:spacing w:val="-1"/>
          <w:kern w:val="0"/>
          <w:sz w:val="30"/>
          <w:szCs w:val="30"/>
          <w14:ligatures w14:val="none"/>
        </w:rPr>
        <w:t>DAG</w:t>
      </w:r>
      <w:r w:rsidRPr="00572709">
        <w:rPr>
          <w:rFonts w:ascii="Georgia" w:eastAsia="Times New Roman" w:hAnsi="Georgia" w:cs="Times New Roman"/>
          <w:color w:val="242424"/>
          <w:spacing w:val="-1"/>
          <w:kern w:val="0"/>
          <w:sz w:val="30"/>
          <w:szCs w:val="30"/>
          <w14:ligatures w14:val="none"/>
        </w:rPr>
        <w:t> blocks over the </w:t>
      </w:r>
      <w:r w:rsidRPr="00572709">
        <w:rPr>
          <w:rFonts w:ascii="Georgia" w:eastAsia="Times New Roman" w:hAnsi="Georgia" w:cs="Times New Roman"/>
          <w:b/>
          <w:bCs/>
          <w:color w:val="242424"/>
          <w:spacing w:val="-1"/>
          <w:kern w:val="0"/>
          <w:sz w:val="30"/>
          <w:szCs w:val="30"/>
          <w14:ligatures w14:val="none"/>
        </w:rPr>
        <w:t>P2P</w:t>
      </w:r>
      <w:r w:rsidRPr="00572709">
        <w:rPr>
          <w:rFonts w:ascii="Georgia" w:eastAsia="Times New Roman" w:hAnsi="Georgia" w:cs="Times New Roman"/>
          <w:color w:val="242424"/>
          <w:spacing w:val="-1"/>
          <w:kern w:val="0"/>
          <w:sz w:val="30"/>
          <w:szCs w:val="30"/>
          <w14:ligatures w14:val="none"/>
        </w:rPr>
        <w:t> swarm, and the client verifies them against the CID — self-certifying integrity. A </w:t>
      </w:r>
      <w:r w:rsidRPr="00572709">
        <w:rPr>
          <w:rFonts w:ascii="Georgia" w:eastAsia="Times New Roman" w:hAnsi="Georgia" w:cs="Times New Roman"/>
          <w:b/>
          <w:bCs/>
          <w:color w:val="242424"/>
          <w:spacing w:val="-1"/>
          <w:kern w:val="0"/>
          <w:sz w:val="30"/>
          <w:szCs w:val="30"/>
          <w14:ligatures w14:val="none"/>
        </w:rPr>
        <w:t>RAG</w:t>
      </w:r>
      <w:r w:rsidRPr="00572709">
        <w:rPr>
          <w:rFonts w:ascii="Georgia" w:eastAsia="Times New Roman" w:hAnsi="Georgia" w:cs="Times New Roman"/>
          <w:color w:val="242424"/>
          <w:spacing w:val="-1"/>
          <w:kern w:val="0"/>
          <w:sz w:val="30"/>
          <w:szCs w:val="30"/>
          <w14:ligatures w14:val="none"/>
        </w:rPr>
        <w:t>-grounded </w:t>
      </w:r>
      <w:r w:rsidRPr="00572709">
        <w:rPr>
          <w:rFonts w:ascii="Georgia" w:eastAsia="Times New Roman" w:hAnsi="Georgia" w:cs="Times New Roman"/>
          <w:b/>
          <w:bCs/>
          <w:color w:val="242424"/>
          <w:spacing w:val="-1"/>
          <w:kern w:val="0"/>
          <w:sz w:val="30"/>
          <w:szCs w:val="30"/>
          <w14:ligatures w14:val="none"/>
        </w:rPr>
        <w:t>LLM</w:t>
      </w:r>
      <w:r w:rsidRPr="00572709">
        <w:rPr>
          <w:rFonts w:ascii="Georgia" w:eastAsia="Times New Roman" w:hAnsi="Georgia" w:cs="Times New Roman"/>
          <w:color w:val="242424"/>
          <w:spacing w:val="-1"/>
          <w:kern w:val="0"/>
          <w:sz w:val="30"/>
          <w:szCs w:val="30"/>
          <w14:ligatures w14:val="none"/>
        </w:rPr>
        <w:t> assistant can, finally, answer questions </w:t>
      </w:r>
      <w:r w:rsidRPr="00572709">
        <w:rPr>
          <w:rFonts w:ascii="Georgia" w:eastAsia="Times New Roman" w:hAnsi="Georgia" w:cs="Times New Roman"/>
          <w:i/>
          <w:iCs/>
          <w:color w:val="242424"/>
          <w:spacing w:val="-1"/>
          <w:kern w:val="0"/>
          <w:sz w:val="30"/>
          <w:szCs w:val="30"/>
          <w14:ligatures w14:val="none"/>
        </w:rPr>
        <w:t>about</w:t>
      </w:r>
      <w:r w:rsidRPr="00572709">
        <w:rPr>
          <w:rFonts w:ascii="Georgia" w:eastAsia="Times New Roman" w:hAnsi="Georgia" w:cs="Times New Roman"/>
          <w:color w:val="242424"/>
          <w:spacing w:val="-1"/>
          <w:kern w:val="0"/>
          <w:sz w:val="30"/>
          <w:szCs w:val="30"/>
          <w14:ligatures w14:val="none"/>
        </w:rPr>
        <w:t> the retrieved dataset, citing it by CID. Every abbreviation in the vocabulary has played a specific, non-redundant role.</w:t>
      </w:r>
    </w:p>
    <w:p w14:paraId="361BFD94"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5.6 A concrete grounding: metadata, query, and shape</w:t>
      </w:r>
    </w:p>
    <w:p w14:paraId="6ADBE104"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To make the abstract layers tangible, it helps to see the actual artefacts. When the substrate stores an object and returns a CID, the semantic layer mints RDF metadata about it. Expressed in Turtle (a human-readable RDF syntax), a metadata record binds the content address to its meaning:</w:t>
      </w:r>
    </w:p>
    <w:p w14:paraId="105456E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@prefix ex: &lt;https://storage.example/ns#&gt; .</w:t>
      </w:r>
      <w:r w:rsidRPr="00572709">
        <w:rPr>
          <w:rFonts w:ascii="Georgia" w:eastAsia="Times New Roman" w:hAnsi="Georgia" w:cs="Times New Roman"/>
          <w:color w:val="242424"/>
          <w:spacing w:val="-1"/>
          <w:kern w:val="0"/>
          <w:sz w:val="30"/>
          <w:szCs w:val="30"/>
          <w14:ligatures w14:val="none"/>
        </w:rPr>
        <w:br/>
        <w:t>@prefix dcterms: &lt;http://purl.org/dc/terms/&gt; .</w:t>
      </w:r>
      <w:r w:rsidRPr="00572709">
        <w:rPr>
          <w:rFonts w:ascii="Georgia" w:eastAsia="Times New Roman" w:hAnsi="Georgia" w:cs="Times New Roman"/>
          <w:color w:val="242424"/>
          <w:spacing w:val="-1"/>
          <w:kern w:val="0"/>
          <w:sz w:val="30"/>
          <w:szCs w:val="30"/>
          <w14:ligatures w14:val="none"/>
        </w:rPr>
        <w:br/>
        <w:t>@prefix skos: &lt;http://www.w3.org/2004/02/skos/core#&gt; .</w:t>
      </w:r>
      <w:r w:rsidRPr="00572709">
        <w:rPr>
          <w:rFonts w:ascii="Georgia" w:eastAsia="Times New Roman" w:hAnsi="Georgia" w:cs="Times New Roman"/>
          <w:color w:val="242424"/>
          <w:spacing w:val="-1"/>
          <w:kern w:val="0"/>
          <w:sz w:val="30"/>
          <w:szCs w:val="30"/>
          <w14:ligatures w14:val="none"/>
        </w:rPr>
        <w:br/>
      </w:r>
      <w:r w:rsidRPr="00572709">
        <w:rPr>
          <w:rFonts w:ascii="Georgia" w:eastAsia="Times New Roman" w:hAnsi="Georgia" w:cs="Times New Roman"/>
          <w:color w:val="242424"/>
          <w:spacing w:val="-1"/>
          <w:kern w:val="0"/>
          <w:sz w:val="30"/>
          <w:szCs w:val="30"/>
          <w14:ligatures w14:val="none"/>
        </w:rPr>
        <w:br/>
        <w:t>ex:bafybeigdyr… a ex:Dataset ; # subject IS the CID</w:t>
      </w:r>
      <w:r w:rsidRPr="00572709">
        <w:rPr>
          <w:rFonts w:ascii="Georgia" w:eastAsia="Times New Roman" w:hAnsi="Georgia" w:cs="Times New Roman"/>
          <w:color w:val="242424"/>
          <w:spacing w:val="-1"/>
          <w:kern w:val="0"/>
          <w:sz w:val="30"/>
          <w:szCs w:val="30"/>
          <w14:ligatures w14:val="none"/>
        </w:rPr>
        <w:br/>
        <w:t>dcterms:creator ex:Alice ;</w:t>
      </w:r>
      <w:r w:rsidRPr="00572709">
        <w:rPr>
          <w:rFonts w:ascii="Georgia" w:eastAsia="Times New Roman" w:hAnsi="Georgia" w:cs="Times New Roman"/>
          <w:color w:val="242424"/>
          <w:spacing w:val="-1"/>
          <w:kern w:val="0"/>
          <w:sz w:val="30"/>
          <w:szCs w:val="30"/>
          <w14:ligatures w14:val="none"/>
        </w:rPr>
        <w:br/>
        <w:t>dcterms:license ex:CC-BY-4.0 ; # a SKOS concept</w:t>
      </w:r>
      <w:r w:rsidRPr="00572709">
        <w:rPr>
          <w:rFonts w:ascii="Georgia" w:eastAsia="Times New Roman" w:hAnsi="Georgia" w:cs="Times New Roman"/>
          <w:color w:val="242424"/>
          <w:spacing w:val="-1"/>
          <w:kern w:val="0"/>
          <w:sz w:val="30"/>
          <w:szCs w:val="30"/>
          <w14:ligatures w14:val="none"/>
        </w:rPr>
        <w:br/>
        <w:t>ex:subject ex:SupplyChainRisk ;# SKOS taxonomy term</w:t>
      </w:r>
      <w:r w:rsidRPr="00572709">
        <w:rPr>
          <w:rFonts w:ascii="Georgia" w:eastAsia="Times New Roman" w:hAnsi="Georgia" w:cs="Times New Roman"/>
          <w:color w:val="242424"/>
          <w:spacing w:val="-1"/>
          <w:kern w:val="0"/>
          <w:sz w:val="30"/>
          <w:szCs w:val="30"/>
          <w14:ligatures w14:val="none"/>
        </w:rPr>
        <w:br/>
        <w:t>ex:derivedFrom ex:bafk…sourceS ; # provenance edge</w:t>
      </w:r>
      <w:r w:rsidRPr="00572709">
        <w:rPr>
          <w:rFonts w:ascii="Georgia" w:eastAsia="Times New Roman" w:hAnsi="Georgia" w:cs="Times New Roman"/>
          <w:color w:val="242424"/>
          <w:spacing w:val="-1"/>
          <w:kern w:val="0"/>
          <w:sz w:val="30"/>
          <w:szCs w:val="30"/>
          <w14:ligatures w14:val="none"/>
        </w:rPr>
        <w:br/>
        <w:t>ex:replicationFactor 3 ;</w:t>
      </w:r>
      <w:r w:rsidRPr="00572709">
        <w:rPr>
          <w:rFonts w:ascii="Georgia" w:eastAsia="Times New Roman" w:hAnsi="Georgia" w:cs="Times New Roman"/>
          <w:color w:val="242424"/>
          <w:spacing w:val="-1"/>
          <w:kern w:val="0"/>
          <w:sz w:val="30"/>
          <w:szCs w:val="30"/>
          <w14:ligatures w14:val="none"/>
        </w:rPr>
        <w:br/>
        <w:t>ex:storageDeal ex:deal-9f2a ; # links to on-chain deal</w:t>
      </w:r>
      <w:r w:rsidRPr="00572709">
        <w:rPr>
          <w:rFonts w:ascii="Georgia" w:eastAsia="Times New Roman" w:hAnsi="Georgia" w:cs="Times New Roman"/>
          <w:color w:val="242424"/>
          <w:spacing w:val="-1"/>
          <w:kern w:val="0"/>
          <w:sz w:val="30"/>
          <w:szCs w:val="30"/>
          <w14:ligatures w14:val="none"/>
        </w:rPr>
        <w:br/>
        <w:t>ex:posTVerified “true”^^xsd:boolean .</w:t>
      </w:r>
    </w:p>
    <w:p w14:paraId="0E95DC5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Every line is a triple whose subject is the content identifier itself — the point at which Layer 1 (bytes) and Layer 2 (meaning) are welded together. A discovery request then becomes a SPARQL query over these triples; the natural-language request of Section 5.5 compiles to something like:</w:t>
      </w:r>
    </w:p>
    <w:p w14:paraId="2631DC74"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SELECT ?cid WHERE {</w:t>
      </w:r>
      <w:r w:rsidRPr="00572709">
        <w:rPr>
          <w:rFonts w:ascii="Georgia" w:eastAsia="Times New Roman" w:hAnsi="Georgia" w:cs="Times New Roman"/>
          <w:color w:val="242424"/>
          <w:spacing w:val="-1"/>
          <w:kern w:val="0"/>
          <w:sz w:val="30"/>
          <w:szCs w:val="30"/>
          <w14:ligatures w14:val="none"/>
        </w:rPr>
        <w:br/>
        <w:t>?cid a ex:Dataset ;</w:t>
      </w:r>
      <w:r w:rsidRPr="00572709">
        <w:rPr>
          <w:rFonts w:ascii="Georgia" w:eastAsia="Times New Roman" w:hAnsi="Georgia" w:cs="Times New Roman"/>
          <w:color w:val="242424"/>
          <w:spacing w:val="-1"/>
          <w:kern w:val="0"/>
          <w:sz w:val="30"/>
          <w:szCs w:val="30"/>
          <w14:ligatures w14:val="none"/>
        </w:rPr>
        <w:br/>
        <w:t>ex:license ex:CC-BY-4.0 ;</w:t>
      </w:r>
      <w:r w:rsidRPr="00572709">
        <w:rPr>
          <w:rFonts w:ascii="Georgia" w:eastAsia="Times New Roman" w:hAnsi="Georgia" w:cs="Times New Roman"/>
          <w:color w:val="242424"/>
          <w:spacing w:val="-1"/>
          <w:kern w:val="0"/>
          <w:sz w:val="30"/>
          <w:szCs w:val="30"/>
          <w14:ligatures w14:val="none"/>
        </w:rPr>
        <w:br/>
        <w:t>ex:derivedFrom+ ex:bafk…sourceS . # ‘+’ = transitive traversal</w:t>
      </w:r>
      <w:r w:rsidRPr="00572709">
        <w:rPr>
          <w:rFonts w:ascii="Georgia" w:eastAsia="Times New Roman" w:hAnsi="Georgia" w:cs="Times New Roman"/>
          <w:color w:val="242424"/>
          <w:spacing w:val="-1"/>
          <w:kern w:val="0"/>
          <w:sz w:val="30"/>
          <w:szCs w:val="30"/>
          <w14:ligatures w14:val="none"/>
        </w:rPr>
        <w:br/>
        <w:t>} ORDER BY DESC(?created) LIMIT 1</w:t>
      </w:r>
    </w:p>
    <w:p w14:paraId="61E31D7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ex:derivedFrom+ property path is exactly the kind of multi-hop, relational traversal that GraphRAG exploits and that a flat, hash-indexed store cannot express. Finally, before any such record is admitted to the graph, SHACL validates it against a shape that encodes storage policy:</w:t>
      </w:r>
    </w:p>
    <w:p w14:paraId="60EF2BF6"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ex:DatasetShape a sh:NodeShape ;</w:t>
      </w:r>
      <w:r w:rsidRPr="00572709">
        <w:rPr>
          <w:rFonts w:ascii="Georgia" w:eastAsia="Times New Roman" w:hAnsi="Georgia" w:cs="Times New Roman"/>
          <w:color w:val="242424"/>
          <w:spacing w:val="-1"/>
          <w:kern w:val="0"/>
          <w:sz w:val="30"/>
          <w:szCs w:val="30"/>
          <w14:ligatures w14:val="none"/>
        </w:rPr>
        <w:br/>
        <w:t>sh:targetClass ex:Dataset ;</w:t>
      </w:r>
      <w:r w:rsidRPr="00572709">
        <w:rPr>
          <w:rFonts w:ascii="Georgia" w:eastAsia="Times New Roman" w:hAnsi="Georgia" w:cs="Times New Roman"/>
          <w:color w:val="242424"/>
          <w:spacing w:val="-1"/>
          <w:kern w:val="0"/>
          <w:sz w:val="30"/>
          <w:szCs w:val="30"/>
          <w14:ligatures w14:val="none"/>
        </w:rPr>
        <w:br/>
        <w:t>sh:property [ sh:path dcterms:creator ; sh:minCount 1 ] ;</w:t>
      </w:r>
      <w:r w:rsidRPr="00572709">
        <w:rPr>
          <w:rFonts w:ascii="Georgia" w:eastAsia="Times New Roman" w:hAnsi="Georgia" w:cs="Times New Roman"/>
          <w:color w:val="242424"/>
          <w:spacing w:val="-1"/>
          <w:kern w:val="0"/>
          <w:sz w:val="30"/>
          <w:szCs w:val="30"/>
          <w14:ligatures w14:val="none"/>
        </w:rPr>
        <w:br/>
        <w:t>sh:property [ sh:path ex:replicationFactor ;</w:t>
      </w:r>
      <w:r w:rsidRPr="00572709">
        <w:rPr>
          <w:rFonts w:ascii="Georgia" w:eastAsia="Times New Roman" w:hAnsi="Georgia" w:cs="Times New Roman"/>
          <w:color w:val="242424"/>
          <w:spacing w:val="-1"/>
          <w:kern w:val="0"/>
          <w:sz w:val="30"/>
          <w:szCs w:val="30"/>
          <w14:ligatures w14:val="none"/>
        </w:rPr>
        <w:br/>
        <w:t>sh:minInclusive 3 ; sh:datatype xsd:integer ] .</w:t>
      </w:r>
    </w:p>
    <w:p w14:paraId="52765741"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A record lacking a creator, or promising fewer than three replicas, is rejected at admission — the storage service’s policy is thereby enforced declaratively, in the same standardised vocabulary that describes the data. These three snippets, spanning RDF, SPARQL, and SHACL, are the concrete substance behind Layer 2; nothing in them is bespoke, and every construct is a W3C standard.</w:t>
      </w:r>
    </w:p>
    <w:p w14:paraId="20FE3F1E"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Table 1. Consolidated glossary: every abbreviation, its expansion, source, layer, and contribution to the blockchain storage service.</w:t>
      </w:r>
    </w:p>
    <w:p w14:paraId="54C827F5" w14:textId="77777777" w:rsidR="00572709" w:rsidRPr="00572709" w:rsidRDefault="00572709" w:rsidP="00572709">
      <w:pPr>
        <w:spacing w:after="0" w:line="240" w:lineRule="auto"/>
        <w:rPr>
          <w:rFonts w:ascii="Times New Roman" w:eastAsia="Times New Roman" w:hAnsi="Times New Roman" w:cs="Times New Roman"/>
          <w:kern w:val="0"/>
          <w14:ligatures w14:val="none"/>
        </w:rPr>
      </w:pPr>
      <w:r w:rsidRPr="00572709">
        <w:rPr>
          <w:rFonts w:ascii="Times New Roman" w:eastAsia="Times New Roman" w:hAnsi="Times New Roman" w:cs="Times New Roman"/>
          <w:kern w:val="0"/>
          <w:bdr w:val="none" w:sz="0" w:space="0" w:color="auto" w:frame="1"/>
          <w14:ligatures w14:val="none"/>
        </w:rPr>
        <w:t>Press enter or click to view image in full size</w:t>
      </w:r>
    </w:p>
    <w:p w14:paraId="1DB1B57A" w14:textId="6EB5A79E" w:rsidR="00572709" w:rsidRPr="00572709" w:rsidRDefault="00572709" w:rsidP="00572709">
      <w:pPr>
        <w:spacing w:after="0" w:line="240" w:lineRule="auto"/>
        <w:rPr>
          <w:rFonts w:ascii="Times New Roman" w:eastAsia="Times New Roman" w:hAnsi="Times New Roman" w:cs="Times New Roman"/>
          <w:kern w:val="0"/>
          <w14:ligatures w14:val="none"/>
        </w:rPr>
      </w:pPr>
      <w:r w:rsidRPr="00572709">
        <w:rPr>
          <w:rFonts w:ascii="Times New Roman" w:eastAsia="Times New Roman" w:hAnsi="Times New Roman" w:cs="Times New Roman"/>
          <w:kern w:val="0"/>
          <w14:ligatures w14:val="none"/>
        </w:rPr>
        <w:fldChar w:fldCharType="begin"/>
      </w:r>
      <w:r w:rsidRPr="00572709">
        <w:rPr>
          <w:rFonts w:ascii="Times New Roman" w:eastAsia="Times New Roman" w:hAnsi="Times New Roman" w:cs="Times New Roman"/>
          <w:kern w:val="0"/>
          <w14:ligatures w14:val="none"/>
        </w:rPr>
        <w:instrText xml:space="preserve"> INCLUDEPICTURE "https://miro.medium.com/v2/resize:fit:1400/1*xitUPxIBE1OCs8p9OhlU0g.png" \* MERGEFORMATINET </w:instrText>
      </w:r>
      <w:r w:rsidRPr="00572709">
        <w:rPr>
          <w:rFonts w:ascii="Times New Roman" w:eastAsia="Times New Roman" w:hAnsi="Times New Roman" w:cs="Times New Roman"/>
          <w:kern w:val="0"/>
          <w14:ligatures w14:val="none"/>
        </w:rPr>
        <w:fldChar w:fldCharType="separate"/>
      </w:r>
      <w:r w:rsidRPr="00572709">
        <w:rPr>
          <w:rFonts w:ascii="Times New Roman" w:eastAsia="Times New Roman" w:hAnsi="Times New Roman" w:cs="Times New Roman"/>
          <w:noProof/>
          <w:kern w:val="0"/>
          <w14:ligatures w14:val="none"/>
        </w:rPr>
        <w:drawing>
          <wp:inline distT="0" distB="0" distL="0" distR="0" wp14:anchorId="42A5AAE3" wp14:editId="6105A4A7">
            <wp:extent cx="8890000" cy="7480300"/>
            <wp:effectExtent l="0" t="0" r="0" b="0"/>
            <wp:docPr id="8871517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51737"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0" cy="7480300"/>
                    </a:xfrm>
                    <a:prstGeom prst="rect">
                      <a:avLst/>
                    </a:prstGeom>
                    <a:noFill/>
                    <a:ln>
                      <a:noFill/>
                    </a:ln>
                  </pic:spPr>
                </pic:pic>
              </a:graphicData>
            </a:graphic>
          </wp:inline>
        </w:drawing>
      </w:r>
      <w:r w:rsidRPr="00572709">
        <w:rPr>
          <w:rFonts w:ascii="Times New Roman" w:eastAsia="Times New Roman" w:hAnsi="Times New Roman" w:cs="Times New Roman"/>
          <w:kern w:val="0"/>
          <w14:ligatures w14:val="none"/>
        </w:rPr>
        <w:fldChar w:fldCharType="end"/>
      </w:r>
    </w:p>
    <w:p w14:paraId="458BCA22" w14:textId="77777777" w:rsidR="00572709" w:rsidRPr="00572709" w:rsidRDefault="00572709" w:rsidP="00572709">
      <w:pPr>
        <w:spacing w:after="0" w:line="240" w:lineRule="auto"/>
        <w:rPr>
          <w:rFonts w:ascii="Times New Roman" w:eastAsia="Times New Roman" w:hAnsi="Times New Roman" w:cs="Times New Roman"/>
          <w:kern w:val="0"/>
          <w14:ligatures w14:val="none"/>
        </w:rPr>
      </w:pPr>
      <w:r w:rsidRPr="00572709">
        <w:rPr>
          <w:rFonts w:ascii="Times New Roman" w:eastAsia="Times New Roman" w:hAnsi="Times New Roman" w:cs="Times New Roman"/>
          <w:kern w:val="0"/>
          <w:bdr w:val="none" w:sz="0" w:space="0" w:color="auto" w:frame="1"/>
          <w14:ligatures w14:val="none"/>
        </w:rPr>
        <w:t>Press enter or click to view image in full size</w:t>
      </w:r>
    </w:p>
    <w:p w14:paraId="1ED658C3" w14:textId="3DD7C476" w:rsidR="00572709" w:rsidRPr="00572709" w:rsidRDefault="00572709" w:rsidP="00572709">
      <w:pPr>
        <w:spacing w:after="0" w:line="240" w:lineRule="auto"/>
        <w:rPr>
          <w:rFonts w:ascii="Times New Roman" w:eastAsia="Times New Roman" w:hAnsi="Times New Roman" w:cs="Times New Roman"/>
          <w:kern w:val="0"/>
          <w14:ligatures w14:val="none"/>
        </w:rPr>
      </w:pPr>
      <w:r w:rsidRPr="00572709">
        <w:rPr>
          <w:rFonts w:ascii="Times New Roman" w:eastAsia="Times New Roman" w:hAnsi="Times New Roman" w:cs="Times New Roman"/>
          <w:kern w:val="0"/>
          <w14:ligatures w14:val="none"/>
        </w:rPr>
        <w:fldChar w:fldCharType="begin"/>
      </w:r>
      <w:r w:rsidRPr="00572709">
        <w:rPr>
          <w:rFonts w:ascii="Times New Roman" w:eastAsia="Times New Roman" w:hAnsi="Times New Roman" w:cs="Times New Roman"/>
          <w:kern w:val="0"/>
          <w14:ligatures w14:val="none"/>
        </w:rPr>
        <w:instrText xml:space="preserve"> INCLUDEPICTURE "https://miro.medium.com/v2/resize:fit:1400/1*jvM9ntw4ZR58zIbt1Mpk7Q.png" \* MERGEFORMATINET </w:instrText>
      </w:r>
      <w:r w:rsidRPr="00572709">
        <w:rPr>
          <w:rFonts w:ascii="Times New Roman" w:eastAsia="Times New Roman" w:hAnsi="Times New Roman" w:cs="Times New Roman"/>
          <w:kern w:val="0"/>
          <w14:ligatures w14:val="none"/>
        </w:rPr>
        <w:fldChar w:fldCharType="separate"/>
      </w:r>
      <w:r w:rsidRPr="00572709">
        <w:rPr>
          <w:rFonts w:ascii="Times New Roman" w:eastAsia="Times New Roman" w:hAnsi="Times New Roman" w:cs="Times New Roman"/>
          <w:noProof/>
          <w:kern w:val="0"/>
          <w14:ligatures w14:val="none"/>
        </w:rPr>
        <w:drawing>
          <wp:inline distT="0" distB="0" distL="0" distR="0" wp14:anchorId="68999716" wp14:editId="308A740F">
            <wp:extent cx="8890000" cy="6159500"/>
            <wp:effectExtent l="0" t="0" r="0" b="0"/>
            <wp:docPr id="123328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6834"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000" cy="6159500"/>
                    </a:xfrm>
                    <a:prstGeom prst="rect">
                      <a:avLst/>
                    </a:prstGeom>
                    <a:noFill/>
                    <a:ln>
                      <a:noFill/>
                    </a:ln>
                  </pic:spPr>
                </pic:pic>
              </a:graphicData>
            </a:graphic>
          </wp:inline>
        </w:drawing>
      </w:r>
      <w:r w:rsidRPr="00572709">
        <w:rPr>
          <w:rFonts w:ascii="Times New Roman" w:eastAsia="Times New Roman" w:hAnsi="Times New Roman" w:cs="Times New Roman"/>
          <w:kern w:val="0"/>
          <w14:ligatures w14:val="none"/>
        </w:rPr>
        <w:fldChar w:fldCharType="end"/>
      </w:r>
    </w:p>
    <w:p w14:paraId="20180596"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5.7 Mapping the source responsibilities to the architecture</w:t>
      </w:r>
    </w:p>
    <w:p w14:paraId="549B0FAD"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Because the article’s occasion is a specific set of responsibilities, it is worth showing that each maps cleanly onto the storage architecture rather than being retrofitted. The source text’s charge to “mature and productize integration capabilities — evolving established functions and </w:t>
      </w:r>
      <w:r w:rsidRPr="00572709">
        <w:rPr>
          <w:rFonts w:ascii="Georgia" w:eastAsia="Times New Roman" w:hAnsi="Georgia" w:cs="Times New Roman"/>
          <w:i/>
          <w:iCs/>
          <w:color w:val="242424"/>
          <w:spacing w:val="-1"/>
          <w:kern w:val="0"/>
          <w:sz w:val="30"/>
          <w:szCs w:val="30"/>
          <w14:ligatures w14:val="none"/>
        </w:rPr>
        <w:t>pipelets</w:t>
      </w:r>
      <w:r w:rsidRPr="00572709">
        <w:rPr>
          <w:rFonts w:ascii="Georgia" w:eastAsia="Times New Roman" w:hAnsi="Georgia" w:cs="Times New Roman"/>
          <w:color w:val="242424"/>
          <w:spacing w:val="-1"/>
          <w:kern w:val="0"/>
          <w:sz w:val="30"/>
          <w:szCs w:val="30"/>
          <w14:ligatures w14:val="none"/>
        </w:rPr>
        <w:t> into reliable, configurable product features” corresponds to hardening the ingest and lifecycle </w:t>
      </w:r>
      <w:r w:rsidRPr="00572709">
        <w:rPr>
          <w:rFonts w:ascii="Georgia" w:eastAsia="Times New Roman" w:hAnsi="Georgia" w:cs="Times New Roman"/>
          <w:i/>
          <w:iCs/>
          <w:color w:val="242424"/>
          <w:spacing w:val="-1"/>
          <w:kern w:val="0"/>
          <w:sz w:val="30"/>
          <w:szCs w:val="30"/>
          <w14:ligatures w14:val="none"/>
        </w:rPr>
        <w:t>pipeline</w:t>
      </w:r>
      <w:r w:rsidRPr="00572709">
        <w:rPr>
          <w:rFonts w:ascii="Georgia" w:eastAsia="Times New Roman" w:hAnsi="Georgia" w:cs="Times New Roman"/>
          <w:color w:val="242424"/>
          <w:spacing w:val="-1"/>
          <w:kern w:val="0"/>
          <w:sz w:val="30"/>
          <w:szCs w:val="30"/>
          <w14:ligatures w14:val="none"/>
        </w:rPr>
        <w:t> of Layer 4: a </w:t>
      </w:r>
      <w:r w:rsidRPr="00572709">
        <w:rPr>
          <w:rFonts w:ascii="Georgia" w:eastAsia="Times New Roman" w:hAnsi="Georgia" w:cs="Times New Roman"/>
          <w:i/>
          <w:iCs/>
          <w:color w:val="242424"/>
          <w:spacing w:val="-1"/>
          <w:kern w:val="0"/>
          <w:sz w:val="30"/>
          <w:szCs w:val="30"/>
          <w14:ligatures w14:val="none"/>
        </w:rPr>
        <w:t>pipelet</w:t>
      </w:r>
      <w:r w:rsidRPr="00572709">
        <w:rPr>
          <w:rFonts w:ascii="Georgia" w:eastAsia="Times New Roman" w:hAnsi="Georgia" w:cs="Times New Roman"/>
          <w:color w:val="242424"/>
          <w:spacing w:val="-1"/>
          <w:kern w:val="0"/>
          <w:sz w:val="30"/>
          <w:szCs w:val="30"/>
          <w14:ligatures w14:val="none"/>
        </w:rPr>
        <w:t> (a small, composable processing stage) is exactly a BPMN task in the BBO-encoded storage workflow, and “configurable product features” means those tasks are parameterised by SHACL-validated policy in Layer 2. The charge to “evolve GraphRAG … where the graph holds domain facts, acts as an index for better RAG, and encodes procedural, agentic knowledge” is the architecture’s spine: domain facts are the Layer-2 catalogue of CIDs, the RAG index is Layer 3, and the procedural knowledge is the Layer-4 BBO workflows. The charge to “expand graph-native agent tooling — retrieving ontology schemas via SPARQL, graph search and subgraph extraction, graph traversal, and executing custom SPARQL” enumerates the Layer-4 agent’s tool belt operating over Layer 2, precisely the tools our store-and-retrieve flow invoked. The charge to “deepen agentic workflows — extending the BBO ontology, exploring transparent BPMN, and making tool libraries available to agents via GraphRAG” is the Layer-4 orchestration and its auditability property. “Continuously benchmark and optimize performance, surface and resolve edge cases” is the cross-cutting SLA-monitoring and operations concern, checked against PoSt results on the substrate. And the required skills confirm the layering from the practitioner’s side: “backend systems in Python — ideally data-heavy” and “distributed systems fundamentals” are Layer 1 and the plumbing between layers; “RDF, SPARQL, ontologies (OWL/SKOS), and triplestores” are Layer 2; “Retrieval-Augmented Generation, LLMs, embeddings, and agentic / tool-using AI patterns” are Layers 3–4; and the bonus “taxonomy/ontology management platforms, GraphRAG, or BPMN/workflow modeling” spans Layers 2 and 4. The correspondence is one-to-one: the platform the source text describes </w:t>
      </w:r>
      <w:r w:rsidRPr="00572709">
        <w:rPr>
          <w:rFonts w:ascii="Georgia" w:eastAsia="Times New Roman" w:hAnsi="Georgia" w:cs="Times New Roman"/>
          <w:i/>
          <w:iCs/>
          <w:color w:val="242424"/>
          <w:spacing w:val="-1"/>
          <w:kern w:val="0"/>
          <w:sz w:val="30"/>
          <w:szCs w:val="30"/>
          <w14:ligatures w14:val="none"/>
        </w:rPr>
        <w:t>is</w:t>
      </w:r>
      <w:r w:rsidRPr="00572709">
        <w:rPr>
          <w:rFonts w:ascii="Georgia" w:eastAsia="Times New Roman" w:hAnsi="Georgia" w:cs="Times New Roman"/>
          <w:color w:val="242424"/>
          <w:spacing w:val="-1"/>
          <w:kern w:val="0"/>
          <w:sz w:val="30"/>
          <w:szCs w:val="30"/>
          <w14:ligatures w14:val="none"/>
        </w:rPr>
        <w:t>, functionally, the upper three layers of a blockchain storage service awaiting a content-addressed, proof-secured substrate beneath it.</w:t>
      </w:r>
    </w:p>
    <w:p w14:paraId="5BB544ED"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6. Discussion: Benefits and Open Challenges</w:t>
      </w:r>
    </w:p>
    <w:p w14:paraId="54221336"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Benefits.</w:t>
      </w:r>
      <w:r w:rsidRPr="00572709">
        <w:rPr>
          <w:rFonts w:ascii="Georgia" w:eastAsia="Times New Roman" w:hAnsi="Georgia" w:cs="Times New Roman"/>
          <w:color w:val="242424"/>
          <w:spacing w:val="-1"/>
          <w:kern w:val="0"/>
          <w:sz w:val="30"/>
          <w:szCs w:val="30"/>
          <w14:ligatures w14:val="none"/>
        </w:rPr>
        <w:t> The composition yields properties that neither stack achieves alone. </w:t>
      </w:r>
      <w:r w:rsidRPr="00572709">
        <w:rPr>
          <w:rFonts w:ascii="Georgia" w:eastAsia="Times New Roman" w:hAnsi="Georgia" w:cs="Times New Roman"/>
          <w:i/>
          <w:iCs/>
          <w:color w:val="242424"/>
          <w:spacing w:val="-1"/>
          <w:kern w:val="0"/>
          <w:sz w:val="30"/>
          <w:szCs w:val="30"/>
          <w14:ligatures w14:val="none"/>
        </w:rPr>
        <w:t>Verifiable discoverability</w:t>
      </w:r>
      <w:r w:rsidRPr="00572709">
        <w:rPr>
          <w:rFonts w:ascii="Georgia" w:eastAsia="Times New Roman" w:hAnsi="Georgia" w:cs="Times New Roman"/>
          <w:color w:val="242424"/>
          <w:spacing w:val="-1"/>
          <w:kern w:val="0"/>
          <w:sz w:val="30"/>
          <w:szCs w:val="30"/>
          <w14:ligatures w14:val="none"/>
        </w:rPr>
        <w:t>: content is both cryptographically self-certifying (CID/CAS) and semantically findable (RDF/SPARQL/GraphRAG), so a user can locate the right object by meaning and then trust the bytes by hash. </w:t>
      </w:r>
      <w:r w:rsidRPr="00572709">
        <w:rPr>
          <w:rFonts w:ascii="Georgia" w:eastAsia="Times New Roman" w:hAnsi="Georgia" w:cs="Times New Roman"/>
          <w:i/>
          <w:iCs/>
          <w:color w:val="242424"/>
          <w:spacing w:val="-1"/>
          <w:kern w:val="0"/>
          <w:sz w:val="30"/>
          <w:szCs w:val="30"/>
          <w14:ligatures w14:val="none"/>
        </w:rPr>
        <w:t>Governed decentralisation</w:t>
      </w:r>
      <w:r w:rsidRPr="00572709">
        <w:rPr>
          <w:rFonts w:ascii="Georgia" w:eastAsia="Times New Roman" w:hAnsi="Georgia" w:cs="Times New Roman"/>
          <w:color w:val="242424"/>
          <w:spacing w:val="-1"/>
          <w:kern w:val="0"/>
          <w:sz w:val="30"/>
          <w:szCs w:val="30"/>
          <w14:ligatures w14:val="none"/>
        </w:rPr>
        <w:t>: OWL/SKOS/SHACL impose schema, vocabulary, and validation discipline on an otherwise unstructured decentralized store, without reintroducing a central operator. </w:t>
      </w:r>
      <w:r w:rsidRPr="00572709">
        <w:rPr>
          <w:rFonts w:ascii="Georgia" w:eastAsia="Times New Roman" w:hAnsi="Georgia" w:cs="Times New Roman"/>
          <w:i/>
          <w:iCs/>
          <w:color w:val="242424"/>
          <w:spacing w:val="-1"/>
          <w:kern w:val="0"/>
          <w:sz w:val="30"/>
          <w:szCs w:val="30"/>
          <w14:ligatures w14:val="none"/>
        </w:rPr>
        <w:t>Auditable autonomy</w:t>
      </w:r>
      <w:r w:rsidRPr="00572709">
        <w:rPr>
          <w:rFonts w:ascii="Georgia" w:eastAsia="Times New Roman" w:hAnsi="Georgia" w:cs="Times New Roman"/>
          <w:color w:val="242424"/>
          <w:spacing w:val="-1"/>
          <w:kern w:val="0"/>
          <w:sz w:val="30"/>
          <w:szCs w:val="30"/>
          <w14:ligatures w14:val="none"/>
        </w:rPr>
        <w:t>: because both the operating procedure (BPMN/BBO) and its execution trace live in the graph and are anchored on the DLT, agentic operation is transparent and reviewable — the “transparent BPMN” the source text aspires to becomes an audit property of the storage service. </w:t>
      </w:r>
      <w:r w:rsidRPr="00572709">
        <w:rPr>
          <w:rFonts w:ascii="Georgia" w:eastAsia="Times New Roman" w:hAnsi="Georgia" w:cs="Times New Roman"/>
          <w:i/>
          <w:iCs/>
          <w:color w:val="242424"/>
          <w:spacing w:val="-1"/>
          <w:kern w:val="0"/>
          <w:sz w:val="30"/>
          <w:szCs w:val="30"/>
          <w14:ligatures w14:val="none"/>
        </w:rPr>
        <w:t>Relational reasoning over storage</w:t>
      </w:r>
      <w:r w:rsidRPr="00572709">
        <w:rPr>
          <w:rFonts w:ascii="Georgia" w:eastAsia="Times New Roman" w:hAnsi="Georgia" w:cs="Times New Roman"/>
          <w:color w:val="242424"/>
          <w:spacing w:val="-1"/>
          <w:kern w:val="0"/>
          <w:sz w:val="30"/>
          <w:szCs w:val="30"/>
          <w14:ligatures w14:val="none"/>
        </w:rPr>
        <w:t>: GraphRAG lets the service answer questions that span many stored objects (provenance chains, blast-radius of a retracted source, policy compliance across a corpus) that a hash-indexed store cannot express.</w:t>
      </w:r>
    </w:p>
    <w:p w14:paraId="3A47D3A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A threat-model lens.</w:t>
      </w:r>
      <w:r w:rsidRPr="00572709">
        <w:rPr>
          <w:rFonts w:ascii="Georgia" w:eastAsia="Times New Roman" w:hAnsi="Georgia" w:cs="Times New Roman"/>
          <w:color w:val="242424"/>
          <w:spacing w:val="-1"/>
          <w:kern w:val="0"/>
          <w:sz w:val="30"/>
          <w:szCs w:val="30"/>
          <w14:ligatures w14:val="none"/>
        </w:rPr>
        <w:t> The composition also redistributes the attack surface, and naming the threats clarifies where each abbreviation defends. At Layer 1, content addressing (CAS/CID) defeats </w:t>
      </w:r>
      <w:r w:rsidRPr="00572709">
        <w:rPr>
          <w:rFonts w:ascii="Georgia" w:eastAsia="Times New Roman" w:hAnsi="Georgia" w:cs="Times New Roman"/>
          <w:i/>
          <w:iCs/>
          <w:color w:val="242424"/>
          <w:spacing w:val="-1"/>
          <w:kern w:val="0"/>
          <w:sz w:val="30"/>
          <w:szCs w:val="30"/>
          <w14:ligatures w14:val="none"/>
        </w:rPr>
        <w:t>silent data corruption and substitution</w:t>
      </w:r>
      <w:r w:rsidRPr="00572709">
        <w:rPr>
          <w:rFonts w:ascii="Georgia" w:eastAsia="Times New Roman" w:hAnsi="Georgia" w:cs="Times New Roman"/>
          <w:color w:val="242424"/>
          <w:spacing w:val="-1"/>
          <w:kern w:val="0"/>
          <w:sz w:val="30"/>
          <w:szCs w:val="30"/>
          <w14:ligatures w14:val="none"/>
        </w:rPr>
        <w:t>: a provider cannot return altered bytes without changing the CID, and PoRep/PoSt defeat the </w:t>
      </w:r>
      <w:r w:rsidRPr="00572709">
        <w:rPr>
          <w:rFonts w:ascii="Georgia" w:eastAsia="Times New Roman" w:hAnsi="Georgia" w:cs="Times New Roman"/>
          <w:i/>
          <w:iCs/>
          <w:color w:val="242424"/>
          <w:spacing w:val="-1"/>
          <w:kern w:val="0"/>
          <w:sz w:val="30"/>
          <w:szCs w:val="30"/>
          <w14:ligatures w14:val="none"/>
        </w:rPr>
        <w:t>“storage-faking”</w:t>
      </w:r>
      <w:r w:rsidRPr="00572709">
        <w:rPr>
          <w:rFonts w:ascii="Georgia" w:eastAsia="Times New Roman" w:hAnsi="Georgia" w:cs="Times New Roman"/>
          <w:color w:val="242424"/>
          <w:spacing w:val="-1"/>
          <w:kern w:val="0"/>
          <w:sz w:val="30"/>
          <w:szCs w:val="30"/>
          <w14:ligatures w14:val="none"/>
        </w:rPr>
        <w:t> attack in which a provider claims payment for data it never kept. At Layer 2, SHACL defends the </w:t>
      </w:r>
      <w:r w:rsidRPr="00572709">
        <w:rPr>
          <w:rFonts w:ascii="Georgia" w:eastAsia="Times New Roman" w:hAnsi="Georgia" w:cs="Times New Roman"/>
          <w:i/>
          <w:iCs/>
          <w:color w:val="242424"/>
          <w:spacing w:val="-1"/>
          <w:kern w:val="0"/>
          <w:sz w:val="30"/>
          <w:szCs w:val="30"/>
          <w14:ligatures w14:val="none"/>
        </w:rPr>
        <w:t>metadata-poisoning</w:t>
      </w:r>
      <w:r w:rsidRPr="00572709">
        <w:rPr>
          <w:rFonts w:ascii="Georgia" w:eastAsia="Times New Roman" w:hAnsi="Georgia" w:cs="Times New Roman"/>
          <w:color w:val="242424"/>
          <w:spacing w:val="-1"/>
          <w:kern w:val="0"/>
          <w:sz w:val="30"/>
          <w:szCs w:val="30"/>
          <w14:ligatures w14:val="none"/>
        </w:rPr>
        <w:t> threat — an attacker cannot inject malformed or policy-violating records — while ACL triples and encryption defend </w:t>
      </w:r>
      <w:r w:rsidRPr="00572709">
        <w:rPr>
          <w:rFonts w:ascii="Georgia" w:eastAsia="Times New Roman" w:hAnsi="Georgia" w:cs="Times New Roman"/>
          <w:i/>
          <w:iCs/>
          <w:color w:val="242424"/>
          <w:spacing w:val="-1"/>
          <w:kern w:val="0"/>
          <w:sz w:val="30"/>
          <w:szCs w:val="30"/>
          <w14:ligatures w14:val="none"/>
        </w:rPr>
        <w:t>confidentiality</w:t>
      </w:r>
      <w:r w:rsidRPr="00572709">
        <w:rPr>
          <w:rFonts w:ascii="Georgia" w:eastAsia="Times New Roman" w:hAnsi="Georgia" w:cs="Times New Roman"/>
          <w:color w:val="242424"/>
          <w:spacing w:val="-1"/>
          <w:kern w:val="0"/>
          <w:sz w:val="30"/>
          <w:szCs w:val="30"/>
          <w14:ligatures w14:val="none"/>
        </w:rPr>
        <w:t>, since the graph would otherwise expose sensitive relationships in the clear. At Layers 3–4, the novel threats are </w:t>
      </w:r>
      <w:r w:rsidRPr="00572709">
        <w:rPr>
          <w:rFonts w:ascii="Georgia" w:eastAsia="Times New Roman" w:hAnsi="Georgia" w:cs="Times New Roman"/>
          <w:i/>
          <w:iCs/>
          <w:color w:val="242424"/>
          <w:spacing w:val="-1"/>
          <w:kern w:val="0"/>
          <w:sz w:val="30"/>
          <w:szCs w:val="30"/>
          <w14:ligatures w14:val="none"/>
        </w:rPr>
        <w:t>prompt injection</w:t>
      </w:r>
      <w:r w:rsidRPr="00572709">
        <w:rPr>
          <w:rFonts w:ascii="Georgia" w:eastAsia="Times New Roman" w:hAnsi="Georgia" w:cs="Times New Roman"/>
          <w:color w:val="242424"/>
          <w:spacing w:val="-1"/>
          <w:kern w:val="0"/>
          <w:sz w:val="30"/>
          <w:szCs w:val="30"/>
          <w14:ligatures w14:val="none"/>
        </w:rPr>
        <w:t> (malicious content steering a RAG-grounded agent) and </w:t>
      </w:r>
      <w:r w:rsidRPr="00572709">
        <w:rPr>
          <w:rFonts w:ascii="Georgia" w:eastAsia="Times New Roman" w:hAnsi="Georgia" w:cs="Times New Roman"/>
          <w:i/>
          <w:iCs/>
          <w:color w:val="242424"/>
          <w:spacing w:val="-1"/>
          <w:kern w:val="0"/>
          <w:sz w:val="30"/>
          <w:szCs w:val="30"/>
          <w14:ligatures w14:val="none"/>
        </w:rPr>
        <w:t>authorization escalation</w:t>
      </w:r>
      <w:r w:rsidRPr="00572709">
        <w:rPr>
          <w:rFonts w:ascii="Georgia" w:eastAsia="Times New Roman" w:hAnsi="Georgia" w:cs="Times New Roman"/>
          <w:color w:val="242424"/>
          <w:spacing w:val="-1"/>
          <w:kern w:val="0"/>
          <w:sz w:val="30"/>
          <w:szCs w:val="30"/>
          <w14:ligatures w14:val="none"/>
        </w:rPr>
        <w:t> (an agent exceeding its mandate); these are contained by scoping agent tool access, validating agent-proposed writes through the same SHACL shapes and ACLs that govern human writes, and anchoring the agent’s actions on the DLT so that any misbehaviour is tamper-evident after the fact. The general pattern is that the cryptographic layers defend integrity and durability by construction, while the semantic and agentic layers must defend meaning and authority by policy — and the architecture’s virtue is that the policy is expressed in the same standardised, queryable vocabulary as the data.</w:t>
      </w:r>
    </w:p>
    <w:p w14:paraId="708FDA73"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b/>
          <w:bCs/>
          <w:color w:val="242424"/>
          <w:spacing w:val="-1"/>
          <w:kern w:val="0"/>
          <w:sz w:val="30"/>
          <w:szCs w:val="30"/>
          <w14:ligatures w14:val="none"/>
        </w:rPr>
        <w:t>Open challenges.</w:t>
      </w:r>
      <w:r w:rsidRPr="00572709">
        <w:rPr>
          <w:rFonts w:ascii="Georgia" w:eastAsia="Times New Roman" w:hAnsi="Georgia" w:cs="Times New Roman"/>
          <w:color w:val="242424"/>
          <w:spacing w:val="-1"/>
          <w:kern w:val="0"/>
          <w:sz w:val="30"/>
          <w:szCs w:val="30"/>
          <w14:ligatures w14:val="none"/>
        </w:rPr>
        <w:t> Four tensions deserve candour. First, </w:t>
      </w:r>
      <w:r w:rsidRPr="00572709">
        <w:rPr>
          <w:rFonts w:ascii="Georgia" w:eastAsia="Times New Roman" w:hAnsi="Georgia" w:cs="Times New Roman"/>
          <w:b/>
          <w:bCs/>
          <w:color w:val="242424"/>
          <w:spacing w:val="-1"/>
          <w:kern w:val="0"/>
          <w:sz w:val="30"/>
          <w:szCs w:val="30"/>
          <w14:ligatures w14:val="none"/>
        </w:rPr>
        <w:t>off-chain/on-chain consistency</w:t>
      </w:r>
      <w:r w:rsidRPr="00572709">
        <w:rPr>
          <w:rFonts w:ascii="Georgia" w:eastAsia="Times New Roman" w:hAnsi="Georgia" w:cs="Times New Roman"/>
          <w:color w:val="242424"/>
          <w:spacing w:val="-1"/>
          <w:kern w:val="0"/>
          <w:sz w:val="30"/>
          <w:szCs w:val="30"/>
          <w14:ligatures w14:val="none"/>
        </w:rPr>
        <w:t>: the knowledge graph (fast, mutable, off-chain) must stay consistent with the ledger’s slow, immutable facts (deals, proofs); reconciling the two — deciding what is authoritative and how updates propagate — is a genuine distributed-systems problem, not a detail. Second, </w:t>
      </w:r>
      <w:r w:rsidRPr="00572709">
        <w:rPr>
          <w:rFonts w:ascii="Georgia" w:eastAsia="Times New Roman" w:hAnsi="Georgia" w:cs="Times New Roman"/>
          <w:b/>
          <w:bCs/>
          <w:color w:val="242424"/>
          <w:spacing w:val="-1"/>
          <w:kern w:val="0"/>
          <w:sz w:val="30"/>
          <w:szCs w:val="30"/>
          <w14:ligatures w14:val="none"/>
        </w:rPr>
        <w:t>scalability and cost</w:t>
      </w:r>
      <w:r w:rsidRPr="00572709">
        <w:rPr>
          <w:rFonts w:ascii="Georgia" w:eastAsia="Times New Roman" w:hAnsi="Georgia" w:cs="Times New Roman"/>
          <w:color w:val="242424"/>
          <w:spacing w:val="-1"/>
          <w:kern w:val="0"/>
          <w:sz w:val="30"/>
          <w:szCs w:val="30"/>
          <w14:ligatures w14:val="none"/>
        </w:rPr>
        <w:t>: maintaining a large RDF metadata graph and running GraphRAG over it has non-trivial compute and storage cost, and on-chain proof verification has its own economics; the architecture must decide what lives on-chain (little), in the graph (metadata), and in the substrate (bytes). Third, </w:t>
      </w:r>
      <w:r w:rsidRPr="00572709">
        <w:rPr>
          <w:rFonts w:ascii="Georgia" w:eastAsia="Times New Roman" w:hAnsi="Georgia" w:cs="Times New Roman"/>
          <w:b/>
          <w:bCs/>
          <w:color w:val="242424"/>
          <w:spacing w:val="-1"/>
          <w:kern w:val="0"/>
          <w:sz w:val="30"/>
          <w:szCs w:val="30"/>
          <w14:ligatures w14:val="none"/>
        </w:rPr>
        <w:t>agent trust and safety</w:t>
      </w:r>
      <w:r w:rsidRPr="00572709">
        <w:rPr>
          <w:rFonts w:ascii="Georgia" w:eastAsia="Times New Roman" w:hAnsi="Georgia" w:cs="Times New Roman"/>
          <w:color w:val="242424"/>
          <w:spacing w:val="-1"/>
          <w:kern w:val="0"/>
          <w:sz w:val="30"/>
          <w:szCs w:val="30"/>
          <w14:ligatures w14:val="none"/>
        </w:rPr>
        <w:t>: handing storage operations to LLM agents introduces model risk, prompt-injection risk, and authorisation risk; agent mandates must be scoped and their actions constrained by SHACL-validated policy and ACLs, with the DLT providing a tamper-evident record. Fourth, </w:t>
      </w:r>
      <w:r w:rsidRPr="00572709">
        <w:rPr>
          <w:rFonts w:ascii="Georgia" w:eastAsia="Times New Roman" w:hAnsi="Georgia" w:cs="Times New Roman"/>
          <w:b/>
          <w:bCs/>
          <w:color w:val="242424"/>
          <w:spacing w:val="-1"/>
          <w:kern w:val="0"/>
          <w:sz w:val="30"/>
          <w:szCs w:val="30"/>
          <w14:ligatures w14:val="none"/>
        </w:rPr>
        <w:t>metadata integrity and privacy</w:t>
      </w:r>
      <w:r w:rsidRPr="00572709">
        <w:rPr>
          <w:rFonts w:ascii="Georgia" w:eastAsia="Times New Roman" w:hAnsi="Georgia" w:cs="Times New Roman"/>
          <w:color w:val="242424"/>
          <w:spacing w:val="-1"/>
          <w:kern w:val="0"/>
          <w:sz w:val="30"/>
          <w:szCs w:val="30"/>
          <w14:ligatures w14:val="none"/>
        </w:rPr>
        <w:t>: the very transparency that makes the graph powerful can leak sensitive relationships, and the graph’s off-chain mutability makes it a softer target than the substrate; encryption, access control, and selective disclosure are required rather than optional. None of these is fatal, but each is real, and an honest reference architecture names them.</w:t>
      </w:r>
    </w:p>
    <w:p w14:paraId="59BC68BC"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7. Related Work and Positioning</w:t>
      </w:r>
    </w:p>
    <w:p w14:paraId="2C0AD0FC"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design draws on two mature literatures and joins them. On the semantic side, it rests entirely on standardised, interoperable W3C technologies — RDF, SPARQL, OWL, SKOS, SHACL, JSON-LD — and on the knowledge-graph synthesis of Hogan et al. (2021), extended by the recent RAG (Lewis et al., 2020) and GraphRAG (Edge et al., 2024) retrieval paradigms and by the graph-native process modelling of BBO (Annane et al., 2019) over BPMN (OMG, 2011). On the storage side, it rests on content-addressed, peer-to-peer storage as formalised by IPFS (Benet, 2014) and the Kademlia DHT (Maymounkov &amp; Mazières, 2002), and on the incentivised, proof-based decentralized storage network of Filecoin (Protocol Labs, 2017), itself downstream of the blockchain idea (Nakamoto, 2008). Several </w:t>
      </w:r>
      <w:r w:rsidRPr="00572709">
        <w:rPr>
          <w:rFonts w:ascii="Georgia" w:eastAsia="Times New Roman" w:hAnsi="Georgia" w:cs="Times New Roman"/>
          <w:b/>
          <w:bCs/>
          <w:color w:val="242424"/>
          <w:spacing w:val="-1"/>
          <w:kern w:val="0"/>
          <w:sz w:val="30"/>
          <w:szCs w:val="30"/>
          <w14:ligatures w14:val="none"/>
        </w:rPr>
        <w:t>future directions</w:t>
      </w:r>
      <w:r w:rsidRPr="00572709">
        <w:rPr>
          <w:rFonts w:ascii="Georgia" w:eastAsia="Times New Roman" w:hAnsi="Georgia" w:cs="Times New Roman"/>
          <w:color w:val="242424"/>
          <w:spacing w:val="-1"/>
          <w:kern w:val="0"/>
          <w:sz w:val="30"/>
          <w:szCs w:val="30"/>
          <w14:ligatures w14:val="none"/>
        </w:rPr>
        <w:t> follow directly from the architecture. First, </w:t>
      </w:r>
      <w:r w:rsidRPr="00572709">
        <w:rPr>
          <w:rFonts w:ascii="Georgia" w:eastAsia="Times New Roman" w:hAnsi="Georgia" w:cs="Times New Roman"/>
          <w:i/>
          <w:iCs/>
          <w:color w:val="242424"/>
          <w:spacing w:val="-1"/>
          <w:kern w:val="0"/>
          <w:sz w:val="30"/>
          <w:szCs w:val="30"/>
          <w14:ligatures w14:val="none"/>
        </w:rPr>
        <w:t>verifiable credentials and decentralized identifiers</w:t>
      </w:r>
      <w:r w:rsidRPr="00572709">
        <w:rPr>
          <w:rFonts w:ascii="Georgia" w:eastAsia="Times New Roman" w:hAnsi="Georgia" w:cs="Times New Roman"/>
          <w:color w:val="242424"/>
          <w:spacing w:val="-1"/>
          <w:kern w:val="0"/>
          <w:sz w:val="30"/>
          <w:szCs w:val="30"/>
          <w14:ligatures w14:val="none"/>
        </w:rPr>
        <w:t> (VCs and DIDs, themselves W3C standards) would let the ACL and provenance triples name subjects in a decentralized, cryptographically verifiable way, closing the identity gap between the semantic and blockchain layers. Second, </w:t>
      </w:r>
      <w:r w:rsidRPr="00572709">
        <w:rPr>
          <w:rFonts w:ascii="Georgia" w:eastAsia="Times New Roman" w:hAnsi="Georgia" w:cs="Times New Roman"/>
          <w:i/>
          <w:iCs/>
          <w:color w:val="242424"/>
          <w:spacing w:val="-1"/>
          <w:kern w:val="0"/>
          <w:sz w:val="30"/>
          <w:szCs w:val="30"/>
          <w14:ligatures w14:val="none"/>
        </w:rPr>
        <w:t>zero-knowledge proofs</w:t>
      </w:r>
      <w:r w:rsidRPr="00572709">
        <w:rPr>
          <w:rFonts w:ascii="Georgia" w:eastAsia="Times New Roman" w:hAnsi="Georgia" w:cs="Times New Roman"/>
          <w:color w:val="242424"/>
          <w:spacing w:val="-1"/>
          <w:kern w:val="0"/>
          <w:sz w:val="30"/>
          <w:szCs w:val="30"/>
          <w14:ligatures w14:val="none"/>
        </w:rPr>
        <w:t> could allow the service to prove policy compliance (e.g., “this dataset was stored with replication factor ≥ 3 and never served to an unauthorised party”) without revealing the underlying metadata, reconciling the transparency of the graph with confidentiality. Third, </w:t>
      </w:r>
      <w:r w:rsidRPr="00572709">
        <w:rPr>
          <w:rFonts w:ascii="Georgia" w:eastAsia="Times New Roman" w:hAnsi="Georgia" w:cs="Times New Roman"/>
          <w:i/>
          <w:iCs/>
          <w:color w:val="242424"/>
          <w:spacing w:val="-1"/>
          <w:kern w:val="0"/>
          <w:sz w:val="30"/>
          <w:szCs w:val="30"/>
          <w14:ligatures w14:val="none"/>
        </w:rPr>
        <w:t>on-chain anchoring of graph state</w:t>
      </w:r>
      <w:r w:rsidRPr="00572709">
        <w:rPr>
          <w:rFonts w:ascii="Georgia" w:eastAsia="Times New Roman" w:hAnsi="Georgia" w:cs="Times New Roman"/>
          <w:color w:val="242424"/>
          <w:spacing w:val="-1"/>
          <w:kern w:val="0"/>
          <w:sz w:val="30"/>
          <w:szCs w:val="30"/>
          <w14:ligatures w14:val="none"/>
        </w:rPr>
        <w:t> — periodically committing a hash of the metadata graph (itself a Merkle structure) to the DLT — would extend the substrate’s tamper-evidence up into Layer 2, so that the meaning layer inherits the integrity guarantees of the byte layer. Fourth, standardising the </w:t>
      </w:r>
      <w:r w:rsidRPr="00572709">
        <w:rPr>
          <w:rFonts w:ascii="Georgia" w:eastAsia="Times New Roman" w:hAnsi="Georgia" w:cs="Times New Roman"/>
          <w:i/>
          <w:iCs/>
          <w:color w:val="242424"/>
          <w:spacing w:val="-1"/>
          <w:kern w:val="0"/>
          <w:sz w:val="30"/>
          <w:szCs w:val="30"/>
          <w14:ligatures w14:val="none"/>
        </w:rPr>
        <w:t>storage-domain ontology</w:t>
      </w:r>
      <w:r w:rsidRPr="00572709">
        <w:rPr>
          <w:rFonts w:ascii="Georgia" w:eastAsia="Times New Roman" w:hAnsi="Georgia" w:cs="Times New Roman"/>
          <w:color w:val="242424"/>
          <w:spacing w:val="-1"/>
          <w:kern w:val="0"/>
          <w:sz w:val="30"/>
          <w:szCs w:val="30"/>
          <w14:ligatures w14:val="none"/>
        </w:rPr>
        <w:t> (the OWL classes for Dataset, Replica, StorageDeal, and so on) would let independent providers and clients interoperate at the semantic layer just as IPFS and Filecoin let them interoperate at the byte layer. Each of these is a natural extension of the same principle that animates the whole design: express as much as possible — data, metadata, policy, process, and proof — in shared, standardised, verifiable vocabularies, and bind them all to content-addressed identity.</w:t>
      </w:r>
    </w:p>
    <w:p w14:paraId="3600217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The design’s upper layers also have a direct industrial precedent in Palantir Foundry’s Ontology (Palantir Technologies, n.d.), which unifies a semantic model (objects, properties, links) with a kinetic action layer (actions, functions) operated by AI agents — validating in production the semantic-plus-kinetic-plus-agentic combination this article advocates. The contribution here is therefore not to invent that combination but to </w:t>
      </w:r>
      <w:r w:rsidRPr="00572709">
        <w:rPr>
          <w:rFonts w:ascii="Georgia" w:eastAsia="Times New Roman" w:hAnsi="Georgia" w:cs="Times New Roman"/>
          <w:i/>
          <w:iCs/>
          <w:color w:val="242424"/>
          <w:spacing w:val="-1"/>
          <w:kern w:val="0"/>
          <w:sz w:val="30"/>
          <w:szCs w:val="30"/>
          <w14:ligatures w14:val="none"/>
        </w:rPr>
        <w:t>decentralise its substrate</w:t>
      </w:r>
      <w:r w:rsidRPr="00572709">
        <w:rPr>
          <w:rFonts w:ascii="Georgia" w:eastAsia="Times New Roman" w:hAnsi="Georgia" w:cs="Times New Roman"/>
          <w:color w:val="242424"/>
          <w:spacing w:val="-1"/>
          <w:kern w:val="0"/>
          <w:sz w:val="30"/>
          <w:szCs w:val="30"/>
          <w14:ligatures w14:val="none"/>
        </w:rPr>
        <w:t>: to show that the same pattern can rest on a content-addressed, proof-secured blockchain storage network expressed in open standards, rather than on a centralized proprietary data layer. The contribution here is not any one of these technologies but the argument that the </w:t>
      </w:r>
      <w:r w:rsidRPr="00572709">
        <w:rPr>
          <w:rFonts w:ascii="Georgia" w:eastAsia="Times New Roman" w:hAnsi="Georgia" w:cs="Times New Roman"/>
          <w:i/>
          <w:iCs/>
          <w:color w:val="242424"/>
          <w:spacing w:val="-1"/>
          <w:kern w:val="0"/>
          <w:sz w:val="30"/>
          <w:szCs w:val="30"/>
          <w14:ligatures w14:val="none"/>
        </w:rPr>
        <w:t>specific</w:t>
      </w:r>
      <w:r w:rsidRPr="00572709">
        <w:rPr>
          <w:rFonts w:ascii="Georgia" w:eastAsia="Times New Roman" w:hAnsi="Georgia" w:cs="Times New Roman"/>
          <w:color w:val="242424"/>
          <w:spacing w:val="-1"/>
          <w:kern w:val="0"/>
          <w:sz w:val="30"/>
          <w:szCs w:val="30"/>
          <w14:ligatures w14:val="none"/>
        </w:rPr>
        <w:t> abbreviations named in a knowledge-graph platform’s remit — GraphRAG, SPARQL, OWL/SKOS, BBO/BPMN, agentic tooling — are precisely the components a decentralized storage service needs for its metadata, discovery, validation, and autonomous-operation layers, and that they compose cleanly onto a content-addressed, proof-secured substrate. The result reframes “knowledge-graph platform” and “blockchain storage” not as separate products but as the upper and lower halves of one verifiable, discoverable, self-operating data service.</w:t>
      </w:r>
    </w:p>
    <w:p w14:paraId="3E10F533"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8. Conclusion</w:t>
      </w:r>
    </w:p>
    <w:p w14:paraId="2B9B81FE"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We set out to introduce every abbreviation in a knowledge-graph platform’s job description and to explain how each helps build a blockchain storage service. The abbreviations proved to be not a random glossary but a coherent toolkit that, once joined with the standard decentralized-storage vocabulary, composes into a four-layer service: a content-addressed, proof-secured substrate (DLT, IPFS, CID, CAS, DAG, DHT, P2P, DSN, PoRep, PoSt, EC, FIL) described and governed by a semantic metadata layer (RDF, SPARQL, OWL, SKOS, SHACL, JSON-LD, KG), made answerable by a retrieval-and-reasoning layer (AI, LLM, embeddings, RAG, GraphRAG), and operated autonomously and transparently by an agentic layer whose procedures are themselves graph facts (BPMN, BBO). The semantic-web standards supply meaning, query, and validation; the AI standards supply retrieval, grounding, and autonomy; the workflow standards supply auditable procedure; and the decentralized-storage standards supply verifiable, incentivised durability. Each abbreviation earns a distinct, non-redundant place, and together they describe a storage service that is trustworthy at the byte, discoverable at the meaning, and operable at the process — a semantically-indexed, agent-orchestrated blockchain storage service. The engineering challenges of consistency, cost, agent safety, and privacy remain, but the architectural case that these vocabularies belong together is, we hope, made.</w:t>
      </w:r>
    </w:p>
    <w:p w14:paraId="07D6A64C" w14:textId="77777777" w:rsidR="00572709" w:rsidRPr="00572709" w:rsidRDefault="00572709" w:rsidP="00572709">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572709">
        <w:rPr>
          <w:rFonts w:ascii="Helvetica Neue" w:eastAsia="Times New Roman" w:hAnsi="Helvetica Neue" w:cs="Times New Roman"/>
          <w:b/>
          <w:bCs/>
          <w:color w:val="242424"/>
          <w:spacing w:val="-4"/>
          <w:kern w:val="0"/>
          <w:sz w:val="36"/>
          <w:szCs w:val="36"/>
          <w14:ligatures w14:val="none"/>
        </w:rPr>
        <w:t>References</w:t>
      </w:r>
    </w:p>
    <w:p w14:paraId="50B66DDA" w14:textId="77777777" w:rsidR="00572709" w:rsidRPr="00572709" w:rsidRDefault="00572709" w:rsidP="00572709">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Annane, A., Aussenac-Gilles, N., &amp; Kamel, M. (2019). BBO: BPMN 2.0 Based Ontology for Business Process Representation. In </w:t>
      </w:r>
      <w:r w:rsidRPr="00572709">
        <w:rPr>
          <w:rFonts w:ascii="Georgia" w:eastAsia="Times New Roman" w:hAnsi="Georgia" w:cs="Times New Roman"/>
          <w:i/>
          <w:iCs/>
          <w:color w:val="242424"/>
          <w:spacing w:val="-1"/>
          <w:kern w:val="0"/>
          <w:sz w:val="30"/>
          <w:szCs w:val="30"/>
          <w14:ligatures w14:val="none"/>
        </w:rPr>
        <w:t>Proceedings of the 20th European Conference on Knowledge Management (ECKM 2019)</w:t>
      </w:r>
      <w:r w:rsidRPr="00572709">
        <w:rPr>
          <w:rFonts w:ascii="Georgia" w:eastAsia="Times New Roman" w:hAnsi="Georgia" w:cs="Times New Roman"/>
          <w:color w:val="242424"/>
          <w:spacing w:val="-1"/>
          <w:kern w:val="0"/>
          <w:sz w:val="30"/>
          <w:szCs w:val="30"/>
          <w14:ligatures w14:val="none"/>
        </w:rPr>
        <w:t> (pp. 49–59). </w:t>
      </w:r>
      <w:hyperlink r:id="rId9" w:tgtFrame="_blank" w:history="1">
        <w:r w:rsidRPr="00572709">
          <w:rPr>
            <w:rFonts w:ascii="Georgia" w:eastAsia="Times New Roman" w:hAnsi="Georgia" w:cs="Times New Roman"/>
            <w:color w:val="0000FF"/>
            <w:spacing w:val="-1"/>
            <w:kern w:val="0"/>
            <w:sz w:val="30"/>
            <w:szCs w:val="30"/>
            <w:u w:val="single"/>
            <w14:ligatures w14:val="none"/>
          </w:rPr>
          <w:t>https://doi.org/10.34190/KM.19.113</w:t>
        </w:r>
      </w:hyperlink>
    </w:p>
    <w:p w14:paraId="01A11F8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Benet, J. (2014). </w:t>
      </w:r>
      <w:r w:rsidRPr="00572709">
        <w:rPr>
          <w:rFonts w:ascii="Georgia" w:eastAsia="Times New Roman" w:hAnsi="Georgia" w:cs="Times New Roman"/>
          <w:i/>
          <w:iCs/>
          <w:color w:val="242424"/>
          <w:spacing w:val="-1"/>
          <w:kern w:val="0"/>
          <w:sz w:val="30"/>
          <w:szCs w:val="30"/>
          <w14:ligatures w14:val="none"/>
        </w:rPr>
        <w:t>IPFS — Content Addressed, Versioned, P2P File System.</w:t>
      </w:r>
      <w:r w:rsidRPr="00572709">
        <w:rPr>
          <w:rFonts w:ascii="Georgia" w:eastAsia="Times New Roman" w:hAnsi="Georgia" w:cs="Times New Roman"/>
          <w:color w:val="242424"/>
          <w:spacing w:val="-1"/>
          <w:kern w:val="0"/>
          <w:sz w:val="30"/>
          <w:szCs w:val="30"/>
          <w14:ligatures w14:val="none"/>
        </w:rPr>
        <w:t> arXiv:1407.3561. </w:t>
      </w:r>
      <w:hyperlink r:id="rId10" w:tgtFrame="_blank" w:history="1">
        <w:r w:rsidRPr="00572709">
          <w:rPr>
            <w:rFonts w:ascii="Georgia" w:eastAsia="Times New Roman" w:hAnsi="Georgia" w:cs="Times New Roman"/>
            <w:color w:val="0000FF"/>
            <w:spacing w:val="-1"/>
            <w:kern w:val="0"/>
            <w:sz w:val="30"/>
            <w:szCs w:val="30"/>
            <w:u w:val="single"/>
            <w14:ligatures w14:val="none"/>
          </w:rPr>
          <w:t>https://arxiv.org/abs/1407.3561</w:t>
        </w:r>
      </w:hyperlink>
    </w:p>
    <w:p w14:paraId="1D438E5B"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Edge, D., Trinh, H., Cheng, N., Bradley, J., Chao, A., Mody, A., Truitt, S., Metropolitansky, D., Ness, R. O., &amp; Larson, J. (2024). </w:t>
      </w:r>
      <w:r w:rsidRPr="00572709">
        <w:rPr>
          <w:rFonts w:ascii="Georgia" w:eastAsia="Times New Roman" w:hAnsi="Georgia" w:cs="Times New Roman"/>
          <w:i/>
          <w:iCs/>
          <w:color w:val="242424"/>
          <w:spacing w:val="-1"/>
          <w:kern w:val="0"/>
          <w:sz w:val="30"/>
          <w:szCs w:val="30"/>
          <w14:ligatures w14:val="none"/>
        </w:rPr>
        <w:t>From Local to Global: A Graph RAG Approach to Query-Focused Summarization.</w:t>
      </w:r>
      <w:r w:rsidRPr="00572709">
        <w:rPr>
          <w:rFonts w:ascii="Georgia" w:eastAsia="Times New Roman" w:hAnsi="Georgia" w:cs="Times New Roman"/>
          <w:color w:val="242424"/>
          <w:spacing w:val="-1"/>
          <w:kern w:val="0"/>
          <w:sz w:val="30"/>
          <w:szCs w:val="30"/>
          <w14:ligatures w14:val="none"/>
        </w:rPr>
        <w:t> arXiv:2404.16130. </w:t>
      </w:r>
      <w:hyperlink r:id="rId11" w:tgtFrame="_blank" w:history="1">
        <w:r w:rsidRPr="00572709">
          <w:rPr>
            <w:rFonts w:ascii="Georgia" w:eastAsia="Times New Roman" w:hAnsi="Georgia" w:cs="Times New Roman"/>
            <w:color w:val="0000FF"/>
            <w:spacing w:val="-1"/>
            <w:kern w:val="0"/>
            <w:sz w:val="30"/>
            <w:szCs w:val="30"/>
            <w:u w:val="single"/>
            <w14:ligatures w14:val="none"/>
          </w:rPr>
          <w:t>https://arxiv.org/abs/2404.16130</w:t>
        </w:r>
      </w:hyperlink>
    </w:p>
    <w:p w14:paraId="43B90CC1"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Hogan, A., Blomqvist, E., Cochez, M., d’Amato, C., de Melo, G., Gutierrez, C., Kirrane, S., Labra Gayo, J. E., Navigli, R., Neumaier, S., Ngonga Ngomo, A.-C., Polleres, A., Rashid, S. M., Rula, A., Schmelzeisen, L., Sequeda, J., Staab, S., &amp; Zimmermann, A. (2021). Knowledge Graphs. </w:t>
      </w:r>
      <w:r w:rsidRPr="00572709">
        <w:rPr>
          <w:rFonts w:ascii="Georgia" w:eastAsia="Times New Roman" w:hAnsi="Georgia" w:cs="Times New Roman"/>
          <w:i/>
          <w:iCs/>
          <w:color w:val="242424"/>
          <w:spacing w:val="-1"/>
          <w:kern w:val="0"/>
          <w:sz w:val="30"/>
          <w:szCs w:val="30"/>
          <w14:ligatures w14:val="none"/>
        </w:rPr>
        <w:t>ACM Computing Surveys,</w:t>
      </w:r>
      <w:r w:rsidRPr="00572709">
        <w:rPr>
          <w:rFonts w:ascii="Georgia" w:eastAsia="Times New Roman" w:hAnsi="Georgia" w:cs="Times New Roman"/>
          <w:color w:val="242424"/>
          <w:spacing w:val="-1"/>
          <w:kern w:val="0"/>
          <w:sz w:val="30"/>
          <w:szCs w:val="30"/>
          <w14:ligatures w14:val="none"/>
        </w:rPr>
        <w:t> 54(4), Article 71. </w:t>
      </w:r>
      <w:hyperlink r:id="rId12" w:tgtFrame="_blank" w:history="1">
        <w:r w:rsidRPr="00572709">
          <w:rPr>
            <w:rFonts w:ascii="Georgia" w:eastAsia="Times New Roman" w:hAnsi="Georgia" w:cs="Times New Roman"/>
            <w:color w:val="0000FF"/>
            <w:spacing w:val="-1"/>
            <w:kern w:val="0"/>
            <w:sz w:val="30"/>
            <w:szCs w:val="30"/>
            <w:u w:val="single"/>
            <w14:ligatures w14:val="none"/>
          </w:rPr>
          <w:t>https://doi.org/10.1145/3447772</w:t>
        </w:r>
      </w:hyperlink>
    </w:p>
    <w:p w14:paraId="2D2B2956"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Lewis, P., Perez, E., Piktus, A., Petroni, F., Karpukhin, V., Goyal, N., Küttler, H., Lewis, M., Yih, W., Rocktäschel, T., Riedel, S., &amp; Kiela, D. (2020). Retrieval-Augmented Generation for Knowledge-Intensive NLP Tasks. </w:t>
      </w:r>
      <w:r w:rsidRPr="00572709">
        <w:rPr>
          <w:rFonts w:ascii="Georgia" w:eastAsia="Times New Roman" w:hAnsi="Georgia" w:cs="Times New Roman"/>
          <w:i/>
          <w:iCs/>
          <w:color w:val="242424"/>
          <w:spacing w:val="-1"/>
          <w:kern w:val="0"/>
          <w:sz w:val="30"/>
          <w:szCs w:val="30"/>
          <w14:ligatures w14:val="none"/>
        </w:rPr>
        <w:t>Advances in Neural Information Processing Systems,</w:t>
      </w:r>
      <w:r w:rsidRPr="00572709">
        <w:rPr>
          <w:rFonts w:ascii="Georgia" w:eastAsia="Times New Roman" w:hAnsi="Georgia" w:cs="Times New Roman"/>
          <w:color w:val="242424"/>
          <w:spacing w:val="-1"/>
          <w:kern w:val="0"/>
          <w:sz w:val="30"/>
          <w:szCs w:val="30"/>
          <w14:ligatures w14:val="none"/>
        </w:rPr>
        <w:t> 33, 9459–9474. </w:t>
      </w:r>
      <w:hyperlink r:id="rId13" w:tgtFrame="_blank" w:history="1">
        <w:r w:rsidRPr="00572709">
          <w:rPr>
            <w:rFonts w:ascii="Georgia" w:eastAsia="Times New Roman" w:hAnsi="Georgia" w:cs="Times New Roman"/>
            <w:color w:val="0000FF"/>
            <w:spacing w:val="-1"/>
            <w:kern w:val="0"/>
            <w:sz w:val="30"/>
            <w:szCs w:val="30"/>
            <w:u w:val="single"/>
            <w14:ligatures w14:val="none"/>
          </w:rPr>
          <w:t>https://arxiv.org/abs/2005.11401</w:t>
        </w:r>
      </w:hyperlink>
    </w:p>
    <w:p w14:paraId="6BDD829C"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Maymounkov, P., &amp; Mazières, D. (2002). Kademlia: A Peer-to-Peer Information System Based on the XOR Metric. In </w:t>
      </w:r>
      <w:r w:rsidRPr="00572709">
        <w:rPr>
          <w:rFonts w:ascii="Georgia" w:eastAsia="Times New Roman" w:hAnsi="Georgia" w:cs="Times New Roman"/>
          <w:i/>
          <w:iCs/>
          <w:color w:val="242424"/>
          <w:spacing w:val="-1"/>
          <w:kern w:val="0"/>
          <w:sz w:val="30"/>
          <w:szCs w:val="30"/>
          <w14:ligatures w14:val="none"/>
        </w:rPr>
        <w:t>Peer-to-Peer Systems (IPTPS 2002)</w:t>
      </w:r>
      <w:r w:rsidRPr="00572709">
        <w:rPr>
          <w:rFonts w:ascii="Georgia" w:eastAsia="Times New Roman" w:hAnsi="Georgia" w:cs="Times New Roman"/>
          <w:color w:val="242424"/>
          <w:spacing w:val="-1"/>
          <w:kern w:val="0"/>
          <w:sz w:val="30"/>
          <w:szCs w:val="30"/>
          <w14:ligatures w14:val="none"/>
        </w:rPr>
        <w:t>, LNCS 2429 (pp. 53–65). Springer. </w:t>
      </w:r>
      <w:hyperlink r:id="rId14" w:tgtFrame="_blank" w:history="1">
        <w:r w:rsidRPr="00572709">
          <w:rPr>
            <w:rFonts w:ascii="Georgia" w:eastAsia="Times New Roman" w:hAnsi="Georgia" w:cs="Times New Roman"/>
            <w:color w:val="0000FF"/>
            <w:spacing w:val="-1"/>
            <w:kern w:val="0"/>
            <w:sz w:val="30"/>
            <w:szCs w:val="30"/>
            <w:u w:val="single"/>
            <w14:ligatures w14:val="none"/>
          </w:rPr>
          <w:t>https://doi.org/10.1007/3-540-45748-8_5</w:t>
        </w:r>
      </w:hyperlink>
    </w:p>
    <w:p w14:paraId="2BE8879F"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Nakamoto, S. (2008). </w:t>
      </w:r>
      <w:r w:rsidRPr="00572709">
        <w:rPr>
          <w:rFonts w:ascii="Georgia" w:eastAsia="Times New Roman" w:hAnsi="Georgia" w:cs="Times New Roman"/>
          <w:i/>
          <w:iCs/>
          <w:color w:val="242424"/>
          <w:spacing w:val="-1"/>
          <w:kern w:val="0"/>
          <w:sz w:val="30"/>
          <w:szCs w:val="30"/>
          <w14:ligatures w14:val="none"/>
        </w:rPr>
        <w:t>Bitcoin: A Peer-to-Peer Electronic Cash System.</w:t>
      </w:r>
      <w:r w:rsidRPr="00572709">
        <w:rPr>
          <w:rFonts w:ascii="Georgia" w:eastAsia="Times New Roman" w:hAnsi="Georgia" w:cs="Times New Roman"/>
          <w:color w:val="242424"/>
          <w:spacing w:val="-1"/>
          <w:kern w:val="0"/>
          <w:sz w:val="30"/>
          <w:szCs w:val="30"/>
          <w14:ligatures w14:val="none"/>
        </w:rPr>
        <w:t> </w:t>
      </w:r>
      <w:hyperlink r:id="rId15" w:tgtFrame="_blank" w:history="1">
        <w:r w:rsidRPr="00572709">
          <w:rPr>
            <w:rFonts w:ascii="Georgia" w:eastAsia="Times New Roman" w:hAnsi="Georgia" w:cs="Times New Roman"/>
            <w:color w:val="0000FF"/>
            <w:spacing w:val="-1"/>
            <w:kern w:val="0"/>
            <w:sz w:val="30"/>
            <w:szCs w:val="30"/>
            <w:u w:val="single"/>
            <w14:ligatures w14:val="none"/>
          </w:rPr>
          <w:t>https://bitcoin.org/bitcoin.pdf</w:t>
        </w:r>
      </w:hyperlink>
    </w:p>
    <w:p w14:paraId="12A7964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Object Management Group (OMG). (2011). </w:t>
      </w:r>
      <w:r w:rsidRPr="00572709">
        <w:rPr>
          <w:rFonts w:ascii="Georgia" w:eastAsia="Times New Roman" w:hAnsi="Georgia" w:cs="Times New Roman"/>
          <w:i/>
          <w:iCs/>
          <w:color w:val="242424"/>
          <w:spacing w:val="-1"/>
          <w:kern w:val="0"/>
          <w:sz w:val="30"/>
          <w:szCs w:val="30"/>
          <w14:ligatures w14:val="none"/>
        </w:rPr>
        <w:t>Business Process Model and Notation (BPMN), Version 2.0.</w:t>
      </w:r>
      <w:r w:rsidRPr="00572709">
        <w:rPr>
          <w:rFonts w:ascii="Georgia" w:eastAsia="Times New Roman" w:hAnsi="Georgia" w:cs="Times New Roman"/>
          <w:color w:val="242424"/>
          <w:spacing w:val="-1"/>
          <w:kern w:val="0"/>
          <w:sz w:val="30"/>
          <w:szCs w:val="30"/>
          <w14:ligatures w14:val="none"/>
        </w:rPr>
        <w:t> </w:t>
      </w:r>
      <w:hyperlink r:id="rId16" w:tgtFrame="_blank" w:history="1">
        <w:r w:rsidRPr="00572709">
          <w:rPr>
            <w:rFonts w:ascii="Georgia" w:eastAsia="Times New Roman" w:hAnsi="Georgia" w:cs="Times New Roman"/>
            <w:color w:val="0000FF"/>
            <w:spacing w:val="-1"/>
            <w:kern w:val="0"/>
            <w:sz w:val="30"/>
            <w:szCs w:val="30"/>
            <w:u w:val="single"/>
            <w14:ligatures w14:val="none"/>
          </w:rPr>
          <w:t>https://www.omg.org/spec/BPMN/2.0/</w:t>
        </w:r>
      </w:hyperlink>
    </w:p>
    <w:p w14:paraId="423D38D9"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Palantir Technologies. (n.d.). </w:t>
      </w:r>
      <w:r w:rsidRPr="00572709">
        <w:rPr>
          <w:rFonts w:ascii="Georgia" w:eastAsia="Times New Roman" w:hAnsi="Georgia" w:cs="Times New Roman"/>
          <w:i/>
          <w:iCs/>
          <w:color w:val="242424"/>
          <w:spacing w:val="-1"/>
          <w:kern w:val="0"/>
          <w:sz w:val="30"/>
          <w:szCs w:val="30"/>
          <w14:ligatures w14:val="none"/>
        </w:rPr>
        <w:t>Ontology: Overview.</w:t>
      </w:r>
      <w:r w:rsidRPr="00572709">
        <w:rPr>
          <w:rFonts w:ascii="Georgia" w:eastAsia="Times New Roman" w:hAnsi="Georgia" w:cs="Times New Roman"/>
          <w:color w:val="242424"/>
          <w:spacing w:val="-1"/>
          <w:kern w:val="0"/>
          <w:sz w:val="30"/>
          <w:szCs w:val="30"/>
          <w14:ligatures w14:val="none"/>
        </w:rPr>
        <w:t> Palantir Foundry Documentation. Retrieved 2026. </w:t>
      </w:r>
      <w:hyperlink r:id="rId17" w:tgtFrame="_blank" w:history="1">
        <w:r w:rsidRPr="00572709">
          <w:rPr>
            <w:rFonts w:ascii="Georgia" w:eastAsia="Times New Roman" w:hAnsi="Georgia" w:cs="Times New Roman"/>
            <w:color w:val="0000FF"/>
            <w:spacing w:val="-1"/>
            <w:kern w:val="0"/>
            <w:sz w:val="30"/>
            <w:szCs w:val="30"/>
            <w:u w:val="single"/>
            <w14:ligatures w14:val="none"/>
          </w:rPr>
          <w:t>https://www.palantir.com/docs/foundry/ontology/overview</w:t>
        </w:r>
      </w:hyperlink>
    </w:p>
    <w:p w14:paraId="41BABDD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Palantir Technologies. (n.d.). </w:t>
      </w:r>
      <w:r w:rsidRPr="00572709">
        <w:rPr>
          <w:rFonts w:ascii="Georgia" w:eastAsia="Times New Roman" w:hAnsi="Georgia" w:cs="Times New Roman"/>
          <w:i/>
          <w:iCs/>
          <w:color w:val="242424"/>
          <w:spacing w:val="-1"/>
          <w:kern w:val="0"/>
          <w:sz w:val="30"/>
          <w:szCs w:val="30"/>
          <w14:ligatures w14:val="none"/>
        </w:rPr>
        <w:t>The Ontology system.</w:t>
      </w:r>
      <w:r w:rsidRPr="00572709">
        <w:rPr>
          <w:rFonts w:ascii="Georgia" w:eastAsia="Times New Roman" w:hAnsi="Georgia" w:cs="Times New Roman"/>
          <w:color w:val="242424"/>
          <w:spacing w:val="-1"/>
          <w:kern w:val="0"/>
          <w:sz w:val="30"/>
          <w:szCs w:val="30"/>
          <w14:ligatures w14:val="none"/>
        </w:rPr>
        <w:t> Palantir Foundry Architecture Center. Retrieved 2026. </w:t>
      </w:r>
      <w:hyperlink r:id="rId18" w:tgtFrame="_blank" w:history="1">
        <w:r w:rsidRPr="00572709">
          <w:rPr>
            <w:rFonts w:ascii="Georgia" w:eastAsia="Times New Roman" w:hAnsi="Georgia" w:cs="Times New Roman"/>
            <w:color w:val="0000FF"/>
            <w:spacing w:val="-1"/>
            <w:kern w:val="0"/>
            <w:sz w:val="30"/>
            <w:szCs w:val="30"/>
            <w:u w:val="single"/>
            <w14:ligatures w14:val="none"/>
          </w:rPr>
          <w:t>https://www.palantir.com/docs/foundry/architecture-center/ontology-system</w:t>
        </w:r>
      </w:hyperlink>
    </w:p>
    <w:p w14:paraId="3412A9BE"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Protocol Labs. (2017). </w:t>
      </w:r>
      <w:r w:rsidRPr="00572709">
        <w:rPr>
          <w:rFonts w:ascii="Georgia" w:eastAsia="Times New Roman" w:hAnsi="Georgia" w:cs="Times New Roman"/>
          <w:i/>
          <w:iCs/>
          <w:color w:val="242424"/>
          <w:spacing w:val="-1"/>
          <w:kern w:val="0"/>
          <w:sz w:val="30"/>
          <w:szCs w:val="30"/>
          <w14:ligatures w14:val="none"/>
        </w:rPr>
        <w:t>Filecoin: A Decentralized Storage Network.</w:t>
      </w:r>
      <w:r w:rsidRPr="00572709">
        <w:rPr>
          <w:rFonts w:ascii="Georgia" w:eastAsia="Times New Roman" w:hAnsi="Georgia" w:cs="Times New Roman"/>
          <w:color w:val="242424"/>
          <w:spacing w:val="-1"/>
          <w:kern w:val="0"/>
          <w:sz w:val="30"/>
          <w:szCs w:val="30"/>
          <w14:ligatures w14:val="none"/>
        </w:rPr>
        <w:t> </w:t>
      </w:r>
      <w:hyperlink r:id="rId19" w:tgtFrame="_blank" w:history="1">
        <w:r w:rsidRPr="00572709">
          <w:rPr>
            <w:rFonts w:ascii="Georgia" w:eastAsia="Times New Roman" w:hAnsi="Georgia" w:cs="Times New Roman"/>
            <w:color w:val="0000FF"/>
            <w:spacing w:val="-1"/>
            <w:kern w:val="0"/>
            <w:sz w:val="30"/>
            <w:szCs w:val="30"/>
            <w:u w:val="single"/>
            <w14:ligatures w14:val="none"/>
          </w:rPr>
          <w:t>https://filecoin.io/filecoin.pdf</w:t>
        </w:r>
      </w:hyperlink>
    </w:p>
    <w:p w14:paraId="4B06AB6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(2009). </w:t>
      </w:r>
      <w:r w:rsidRPr="00572709">
        <w:rPr>
          <w:rFonts w:ascii="Georgia" w:eastAsia="Times New Roman" w:hAnsi="Georgia" w:cs="Times New Roman"/>
          <w:i/>
          <w:iCs/>
          <w:color w:val="242424"/>
          <w:spacing w:val="-1"/>
          <w:kern w:val="0"/>
          <w:sz w:val="30"/>
          <w:szCs w:val="30"/>
          <w14:ligatures w14:val="none"/>
        </w:rPr>
        <w:t>SKOS Simple Knowledge Organization System Reference.</w:t>
      </w:r>
      <w:r w:rsidRPr="00572709">
        <w:rPr>
          <w:rFonts w:ascii="Georgia" w:eastAsia="Times New Roman" w:hAnsi="Georgia" w:cs="Times New Roman"/>
          <w:color w:val="242424"/>
          <w:spacing w:val="-1"/>
          <w:kern w:val="0"/>
          <w:sz w:val="30"/>
          <w:szCs w:val="30"/>
          <w14:ligatures w14:val="none"/>
        </w:rPr>
        <w:t> W3C Recommendation, 18 August 2009. </w:t>
      </w:r>
      <w:hyperlink r:id="rId20" w:tgtFrame="_blank" w:history="1">
        <w:r w:rsidRPr="00572709">
          <w:rPr>
            <w:rFonts w:ascii="Georgia" w:eastAsia="Times New Roman" w:hAnsi="Georgia" w:cs="Times New Roman"/>
            <w:color w:val="0000FF"/>
            <w:spacing w:val="-1"/>
            <w:kern w:val="0"/>
            <w:sz w:val="30"/>
            <w:szCs w:val="30"/>
            <w:u w:val="single"/>
            <w14:ligatures w14:val="none"/>
          </w:rPr>
          <w:t>https://www.w3.org/TR/skos-reference/</w:t>
        </w:r>
      </w:hyperlink>
    </w:p>
    <w:p w14:paraId="59EB406D"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(2012). </w:t>
      </w:r>
      <w:r w:rsidRPr="00572709">
        <w:rPr>
          <w:rFonts w:ascii="Georgia" w:eastAsia="Times New Roman" w:hAnsi="Georgia" w:cs="Times New Roman"/>
          <w:i/>
          <w:iCs/>
          <w:color w:val="242424"/>
          <w:spacing w:val="-1"/>
          <w:kern w:val="0"/>
          <w:sz w:val="30"/>
          <w:szCs w:val="30"/>
          <w14:ligatures w14:val="none"/>
        </w:rPr>
        <w:t>OWL 2 Web Ontology Language Document Overview (Second Edition).</w:t>
      </w:r>
      <w:r w:rsidRPr="00572709">
        <w:rPr>
          <w:rFonts w:ascii="Georgia" w:eastAsia="Times New Roman" w:hAnsi="Georgia" w:cs="Times New Roman"/>
          <w:color w:val="242424"/>
          <w:spacing w:val="-1"/>
          <w:kern w:val="0"/>
          <w:sz w:val="30"/>
          <w:szCs w:val="30"/>
          <w14:ligatures w14:val="none"/>
        </w:rPr>
        <w:t> W3C Recommendation, 11 December 2012. </w:t>
      </w:r>
      <w:hyperlink r:id="rId21" w:tgtFrame="_blank" w:history="1">
        <w:r w:rsidRPr="00572709">
          <w:rPr>
            <w:rFonts w:ascii="Georgia" w:eastAsia="Times New Roman" w:hAnsi="Georgia" w:cs="Times New Roman"/>
            <w:color w:val="0000FF"/>
            <w:spacing w:val="-1"/>
            <w:kern w:val="0"/>
            <w:sz w:val="30"/>
            <w:szCs w:val="30"/>
            <w:u w:val="single"/>
            <w14:ligatures w14:val="none"/>
          </w:rPr>
          <w:t>https://www.w3.org/TR/owl2-overview/</w:t>
        </w:r>
      </w:hyperlink>
    </w:p>
    <w:p w14:paraId="3113688B"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(2013). </w:t>
      </w:r>
      <w:r w:rsidRPr="00572709">
        <w:rPr>
          <w:rFonts w:ascii="Georgia" w:eastAsia="Times New Roman" w:hAnsi="Georgia" w:cs="Times New Roman"/>
          <w:i/>
          <w:iCs/>
          <w:color w:val="242424"/>
          <w:spacing w:val="-1"/>
          <w:kern w:val="0"/>
          <w:sz w:val="30"/>
          <w:szCs w:val="30"/>
          <w14:ligatures w14:val="none"/>
        </w:rPr>
        <w:t>SPARQL 1.1 Overview.</w:t>
      </w:r>
      <w:r w:rsidRPr="00572709">
        <w:rPr>
          <w:rFonts w:ascii="Georgia" w:eastAsia="Times New Roman" w:hAnsi="Georgia" w:cs="Times New Roman"/>
          <w:color w:val="242424"/>
          <w:spacing w:val="-1"/>
          <w:kern w:val="0"/>
          <w:sz w:val="30"/>
          <w:szCs w:val="30"/>
          <w14:ligatures w14:val="none"/>
        </w:rPr>
        <w:t> W3C Recommendation, 21 March 2013. </w:t>
      </w:r>
      <w:hyperlink r:id="rId22" w:tgtFrame="_blank" w:history="1">
        <w:r w:rsidRPr="00572709">
          <w:rPr>
            <w:rFonts w:ascii="Georgia" w:eastAsia="Times New Roman" w:hAnsi="Georgia" w:cs="Times New Roman"/>
            <w:color w:val="0000FF"/>
            <w:spacing w:val="-1"/>
            <w:kern w:val="0"/>
            <w:sz w:val="30"/>
            <w:szCs w:val="30"/>
            <w:u w:val="single"/>
            <w14:ligatures w14:val="none"/>
          </w:rPr>
          <w:t>https://www.w3.org/TR/sparql11-overview/</w:t>
        </w:r>
      </w:hyperlink>
    </w:p>
    <w:p w14:paraId="509E794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(2014). </w:t>
      </w:r>
      <w:r w:rsidRPr="00572709">
        <w:rPr>
          <w:rFonts w:ascii="Georgia" w:eastAsia="Times New Roman" w:hAnsi="Georgia" w:cs="Times New Roman"/>
          <w:i/>
          <w:iCs/>
          <w:color w:val="242424"/>
          <w:spacing w:val="-1"/>
          <w:kern w:val="0"/>
          <w:sz w:val="30"/>
          <w:szCs w:val="30"/>
          <w14:ligatures w14:val="none"/>
        </w:rPr>
        <w:t>RDF 1.1 Concepts and Abstract Syntax.</w:t>
      </w:r>
      <w:r w:rsidRPr="00572709">
        <w:rPr>
          <w:rFonts w:ascii="Georgia" w:eastAsia="Times New Roman" w:hAnsi="Georgia" w:cs="Times New Roman"/>
          <w:color w:val="242424"/>
          <w:spacing w:val="-1"/>
          <w:kern w:val="0"/>
          <w:sz w:val="30"/>
          <w:szCs w:val="30"/>
          <w14:ligatures w14:val="none"/>
        </w:rPr>
        <w:t> W3C Recommendation, 25 February 2014. </w:t>
      </w:r>
      <w:hyperlink r:id="rId23" w:tgtFrame="_blank" w:history="1">
        <w:r w:rsidRPr="00572709">
          <w:rPr>
            <w:rFonts w:ascii="Georgia" w:eastAsia="Times New Roman" w:hAnsi="Georgia" w:cs="Times New Roman"/>
            <w:color w:val="0000FF"/>
            <w:spacing w:val="-1"/>
            <w:kern w:val="0"/>
            <w:sz w:val="30"/>
            <w:szCs w:val="30"/>
            <w:u w:val="single"/>
            <w14:ligatures w14:val="none"/>
          </w:rPr>
          <w:t>https://www.w3.org/TR/rdf11-concepts/</w:t>
        </w:r>
      </w:hyperlink>
    </w:p>
    <w:p w14:paraId="6A9EADDE"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(2017). </w:t>
      </w:r>
      <w:r w:rsidRPr="00572709">
        <w:rPr>
          <w:rFonts w:ascii="Georgia" w:eastAsia="Times New Roman" w:hAnsi="Georgia" w:cs="Times New Roman"/>
          <w:i/>
          <w:iCs/>
          <w:color w:val="242424"/>
          <w:spacing w:val="-1"/>
          <w:kern w:val="0"/>
          <w:sz w:val="30"/>
          <w:szCs w:val="30"/>
          <w14:ligatures w14:val="none"/>
        </w:rPr>
        <w:t>Shapes Constraint Language (SHACL).</w:t>
      </w:r>
      <w:r w:rsidRPr="00572709">
        <w:rPr>
          <w:rFonts w:ascii="Georgia" w:eastAsia="Times New Roman" w:hAnsi="Georgia" w:cs="Times New Roman"/>
          <w:color w:val="242424"/>
          <w:spacing w:val="-1"/>
          <w:kern w:val="0"/>
          <w:sz w:val="30"/>
          <w:szCs w:val="30"/>
          <w14:ligatures w14:val="none"/>
        </w:rPr>
        <w:t> W3C Recommendation, 20 July 2017. </w:t>
      </w:r>
      <w:hyperlink r:id="rId24" w:tgtFrame="_blank" w:history="1">
        <w:r w:rsidRPr="00572709">
          <w:rPr>
            <w:rFonts w:ascii="Georgia" w:eastAsia="Times New Roman" w:hAnsi="Georgia" w:cs="Times New Roman"/>
            <w:color w:val="0000FF"/>
            <w:spacing w:val="-1"/>
            <w:kern w:val="0"/>
            <w:sz w:val="30"/>
            <w:szCs w:val="30"/>
            <w:u w:val="single"/>
            <w14:ligatures w14:val="none"/>
          </w:rPr>
          <w:t>https://www.w3.org/TR/shacl/</w:t>
        </w:r>
      </w:hyperlink>
    </w:p>
    <w:p w14:paraId="64811622" w14:textId="77777777" w:rsidR="00572709" w:rsidRPr="00572709" w:rsidRDefault="00572709" w:rsidP="00572709">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572709">
        <w:rPr>
          <w:rFonts w:ascii="Georgia" w:eastAsia="Times New Roman" w:hAnsi="Georgia" w:cs="Times New Roman"/>
          <w:color w:val="242424"/>
          <w:spacing w:val="-1"/>
          <w:kern w:val="0"/>
          <w:sz w:val="30"/>
          <w:szCs w:val="30"/>
          <w14:ligatures w14:val="none"/>
        </w:rPr>
        <w:t>World Wide Web Consortium (W3C). (2020). </w:t>
      </w:r>
      <w:r w:rsidRPr="00572709">
        <w:rPr>
          <w:rFonts w:ascii="Georgia" w:eastAsia="Times New Roman" w:hAnsi="Georgia" w:cs="Times New Roman"/>
          <w:i/>
          <w:iCs/>
          <w:color w:val="242424"/>
          <w:spacing w:val="-1"/>
          <w:kern w:val="0"/>
          <w:sz w:val="30"/>
          <w:szCs w:val="30"/>
          <w14:ligatures w14:val="none"/>
        </w:rPr>
        <w:t>JSON-LD 1.1: A JSON-based Serialization for Linked Data.</w:t>
      </w:r>
      <w:r w:rsidRPr="00572709">
        <w:rPr>
          <w:rFonts w:ascii="Georgia" w:eastAsia="Times New Roman" w:hAnsi="Georgia" w:cs="Times New Roman"/>
          <w:color w:val="242424"/>
          <w:spacing w:val="-1"/>
          <w:kern w:val="0"/>
          <w:sz w:val="30"/>
          <w:szCs w:val="30"/>
          <w14:ligatures w14:val="none"/>
        </w:rPr>
        <w:t> W3C Recommendation, 16 July 2020. </w:t>
      </w:r>
      <w:hyperlink r:id="rId25" w:tgtFrame="_blank" w:history="1">
        <w:r w:rsidRPr="00572709">
          <w:rPr>
            <w:rFonts w:ascii="Georgia" w:eastAsia="Times New Roman" w:hAnsi="Georgia" w:cs="Times New Roman"/>
            <w:color w:val="0000FF"/>
            <w:spacing w:val="-1"/>
            <w:kern w:val="0"/>
            <w:sz w:val="30"/>
            <w:szCs w:val="30"/>
            <w:u w:val="single"/>
            <w14:ligatures w14:val="none"/>
          </w:rPr>
          <w:t>https://www.w3.org/TR/json-ld11/</w:t>
        </w:r>
      </w:hyperlink>
    </w:p>
    <w:p w14:paraId="3FEC7FE4"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09"/>
    <w:rsid w:val="00053D13"/>
    <w:rsid w:val="000F2688"/>
    <w:rsid w:val="00572709"/>
    <w:rsid w:val="00712C9A"/>
    <w:rsid w:val="009403E1"/>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25309E"/>
  <w15:chartTrackingRefBased/>
  <w15:docId w15:val="{EA156495-87D3-8242-BBE6-740BDDD9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09"/>
    <w:rPr>
      <w:rFonts w:eastAsiaTheme="majorEastAsia" w:cstheme="majorBidi"/>
      <w:color w:val="272727" w:themeColor="text1" w:themeTint="D8"/>
    </w:rPr>
  </w:style>
  <w:style w:type="paragraph" w:styleId="Title">
    <w:name w:val="Title"/>
    <w:basedOn w:val="Normal"/>
    <w:next w:val="Normal"/>
    <w:link w:val="TitleChar"/>
    <w:uiPriority w:val="10"/>
    <w:qFormat/>
    <w:rsid w:val="00572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709"/>
    <w:pPr>
      <w:spacing w:before="160"/>
      <w:jc w:val="center"/>
    </w:pPr>
    <w:rPr>
      <w:i/>
      <w:iCs/>
      <w:color w:val="404040" w:themeColor="text1" w:themeTint="BF"/>
    </w:rPr>
  </w:style>
  <w:style w:type="character" w:customStyle="1" w:styleId="QuoteChar">
    <w:name w:val="Quote Char"/>
    <w:basedOn w:val="DefaultParagraphFont"/>
    <w:link w:val="Quote"/>
    <w:uiPriority w:val="29"/>
    <w:rsid w:val="00572709"/>
    <w:rPr>
      <w:i/>
      <w:iCs/>
      <w:color w:val="404040" w:themeColor="text1" w:themeTint="BF"/>
    </w:rPr>
  </w:style>
  <w:style w:type="paragraph" w:styleId="ListParagraph">
    <w:name w:val="List Paragraph"/>
    <w:basedOn w:val="Normal"/>
    <w:uiPriority w:val="34"/>
    <w:qFormat/>
    <w:rsid w:val="00572709"/>
    <w:pPr>
      <w:ind w:left="720"/>
      <w:contextualSpacing/>
    </w:pPr>
  </w:style>
  <w:style w:type="character" w:styleId="IntenseEmphasis">
    <w:name w:val="Intense Emphasis"/>
    <w:basedOn w:val="DefaultParagraphFont"/>
    <w:uiPriority w:val="21"/>
    <w:qFormat/>
    <w:rsid w:val="00572709"/>
    <w:rPr>
      <w:i/>
      <w:iCs/>
      <w:color w:val="0F4761" w:themeColor="accent1" w:themeShade="BF"/>
    </w:rPr>
  </w:style>
  <w:style w:type="paragraph" w:styleId="IntenseQuote">
    <w:name w:val="Intense Quote"/>
    <w:basedOn w:val="Normal"/>
    <w:next w:val="Normal"/>
    <w:link w:val="IntenseQuoteChar"/>
    <w:uiPriority w:val="30"/>
    <w:qFormat/>
    <w:rsid w:val="00572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709"/>
    <w:rPr>
      <w:i/>
      <w:iCs/>
      <w:color w:val="0F4761" w:themeColor="accent1" w:themeShade="BF"/>
    </w:rPr>
  </w:style>
  <w:style w:type="character" w:styleId="IntenseReference">
    <w:name w:val="Intense Reference"/>
    <w:basedOn w:val="DefaultParagraphFont"/>
    <w:uiPriority w:val="32"/>
    <w:qFormat/>
    <w:rsid w:val="00572709"/>
    <w:rPr>
      <w:b/>
      <w:bCs/>
      <w:smallCaps/>
      <w:color w:val="0F4761" w:themeColor="accent1" w:themeShade="BF"/>
      <w:spacing w:val="5"/>
    </w:rPr>
  </w:style>
  <w:style w:type="character" w:styleId="Hyperlink">
    <w:name w:val="Hyperlink"/>
    <w:basedOn w:val="DefaultParagraphFont"/>
    <w:uiPriority w:val="99"/>
    <w:semiHidden/>
    <w:unhideWhenUsed/>
    <w:rsid w:val="00572709"/>
    <w:rPr>
      <w:color w:val="0000FF"/>
      <w:u w:val="single"/>
    </w:rPr>
  </w:style>
  <w:style w:type="character" w:customStyle="1" w:styleId="z">
    <w:name w:val="z"/>
    <w:basedOn w:val="DefaultParagraphFont"/>
    <w:rsid w:val="00572709"/>
  </w:style>
  <w:style w:type="character" w:customStyle="1" w:styleId="at">
    <w:name w:val="at"/>
    <w:basedOn w:val="DefaultParagraphFont"/>
    <w:rsid w:val="00572709"/>
  </w:style>
  <w:style w:type="paragraph" w:customStyle="1" w:styleId="z1">
    <w:name w:val="z1"/>
    <w:basedOn w:val="Normal"/>
    <w:rsid w:val="005727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w-post-body-paragraph">
    <w:name w:val="pw-post-body-paragraph"/>
    <w:basedOn w:val="Normal"/>
    <w:rsid w:val="005727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72709"/>
    <w:rPr>
      <w:i/>
      <w:iCs/>
    </w:rPr>
  </w:style>
  <w:style w:type="character" w:styleId="Strong">
    <w:name w:val="Strong"/>
    <w:basedOn w:val="DefaultParagraphFont"/>
    <w:uiPriority w:val="22"/>
    <w:qFormat/>
    <w:rsid w:val="00572709"/>
    <w:rPr>
      <w:b/>
      <w:bCs/>
    </w:rPr>
  </w:style>
  <w:style w:type="character" w:customStyle="1" w:styleId="bg">
    <w:name w:val="bg"/>
    <w:basedOn w:val="DefaultParagraphFont"/>
    <w:rsid w:val="00572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005.11401" TargetMode="External"/><Relationship Id="rId18" Type="http://schemas.openxmlformats.org/officeDocument/2006/relationships/hyperlink" Target="https://www.palantir.com/docs/foundry/architecture-center/ontology-syste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w3.org/TR/owl2-overview/" TargetMode="External"/><Relationship Id="rId7" Type="http://schemas.openxmlformats.org/officeDocument/2006/relationships/image" Target="media/image2.png"/><Relationship Id="rId12" Type="http://schemas.openxmlformats.org/officeDocument/2006/relationships/hyperlink" Target="https://doi.org/10.1145/3447772" TargetMode="External"/><Relationship Id="rId17" Type="http://schemas.openxmlformats.org/officeDocument/2006/relationships/hyperlink" Target="https://www.palantir.com/docs/foundry/ontology/overview" TargetMode="External"/><Relationship Id="rId25" Type="http://schemas.openxmlformats.org/officeDocument/2006/relationships/hyperlink" Target="https://www.w3.org/TR/json-ld11/" TargetMode="External"/><Relationship Id="rId2" Type="http://schemas.openxmlformats.org/officeDocument/2006/relationships/settings" Target="settings.xml"/><Relationship Id="rId16" Type="http://schemas.openxmlformats.org/officeDocument/2006/relationships/hyperlink" Target="https://www.omg.org/spec/BPMN/2.0/" TargetMode="External"/><Relationship Id="rId20" Type="http://schemas.openxmlformats.org/officeDocument/2006/relationships/hyperlink" Target="https://www.w3.org/TR/skos-reference/" TargetMode="External"/><Relationship Id="rId1" Type="http://schemas.openxmlformats.org/officeDocument/2006/relationships/styles" Target="styles.xml"/><Relationship Id="rId6" Type="http://schemas.openxmlformats.org/officeDocument/2006/relationships/hyperlink" Target="https://medium.com/@gwrx2005?source=post_page---byline--bc34b6ab7d1e---------------------------------------" TargetMode="External"/><Relationship Id="rId11" Type="http://schemas.openxmlformats.org/officeDocument/2006/relationships/hyperlink" Target="https://arxiv.org/abs/2404.16130" TargetMode="External"/><Relationship Id="rId24" Type="http://schemas.openxmlformats.org/officeDocument/2006/relationships/hyperlink" Target="https://www.w3.org/TR/shacl/" TargetMode="External"/><Relationship Id="rId5" Type="http://schemas.openxmlformats.org/officeDocument/2006/relationships/image" Target="media/image1.jpeg"/><Relationship Id="rId15" Type="http://schemas.openxmlformats.org/officeDocument/2006/relationships/hyperlink" Target="https://bitcoin.org/bitcoin.pdf" TargetMode="External"/><Relationship Id="rId23" Type="http://schemas.openxmlformats.org/officeDocument/2006/relationships/hyperlink" Target="https://www.w3.org/TR/rdf11-concepts/" TargetMode="External"/><Relationship Id="rId10" Type="http://schemas.openxmlformats.org/officeDocument/2006/relationships/hyperlink" Target="https://arxiv.org/abs/1407.3561" TargetMode="External"/><Relationship Id="rId19" Type="http://schemas.openxmlformats.org/officeDocument/2006/relationships/hyperlink" Target="https://filecoin.io/filecoin.pdf" TargetMode="External"/><Relationship Id="rId4" Type="http://schemas.openxmlformats.org/officeDocument/2006/relationships/hyperlink" Target="https://medium.com/@gwrx2005?source=post_page---byline--bc34b6ab7d1e---------------------------------------" TargetMode="External"/><Relationship Id="rId9" Type="http://schemas.openxmlformats.org/officeDocument/2006/relationships/hyperlink" Target="https://doi.org/10.34190/KM.19.113" TargetMode="External"/><Relationship Id="rId14" Type="http://schemas.openxmlformats.org/officeDocument/2006/relationships/hyperlink" Target="https://doi.org/10.1007/3-540-45748-8_5" TargetMode="External"/><Relationship Id="rId22" Type="http://schemas.openxmlformats.org/officeDocument/2006/relationships/hyperlink" Target="https://www.w3.org/TR/sparql11-overvie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7974</Words>
  <Characters>47210</Characters>
  <Application>Microsoft Office Word</Application>
  <DocSecurity>0</DocSecurity>
  <Lines>925</Lines>
  <Paragraphs>137</Paragraphs>
  <ScaleCrop>false</ScaleCrop>
  <Company/>
  <LinksUpToDate>false</LinksUpToDate>
  <CharactersWithSpaces>55047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2026-07-21T15:14:00Z</dcterms:created>
  <dcterms:modified xsi:type="dcterms:W3CDTF">2026-07-21T15:15:00Z</dcterms:modified>
</cp:coreProperties>
</file>