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B57"/>
          <w:sz w:val="32"/>
          <w:szCs w:val="32"/>
        </w:rPr>
        <w:t xml:space="preserve">Deliverable 3, Item 1 of 15: Requirements (Phase 1)</w:t>
      </w:r>
    </w:p>
    <w:p>
      <w:pPr>
        <w:spacing w:after="60"/>
      </w:pPr>
      <w:r>
        <w:rPr>
          <w:rFonts w:ascii="Calibri" w:cs="Calibri" w:eastAsia="Calibri" w:hAnsi="Calibri"/>
          <w:i/>
          <w:iCs/>
          <w:color w:val="555555"/>
          <w:sz w:val="20"/>
          <w:szCs w:val="20"/>
        </w:rPr>
        <w:t xml:space="preserve">Team Falcons, Lost and Found for Campus, CSCE 5430, Fall 2026</w:t>
      </w:r>
    </w:p>
    <w:p>
      <w:pPr>
        <w:spacing w:after="120"/>
      </w:pPr>
      <w:r>
        <w:rPr>
          <w:rFonts w:ascii="Calibri" w:cs="Calibri" w:eastAsia="Calibri" w:hAnsi="Calibri"/>
          <w:i/>
          <w:iCs/>
          <w:color w:val="999999"/>
          <w:sz w:val="18"/>
          <w:szCs w:val="18"/>
        </w:rPr>
        <w:t xml:space="preserve">Working draft for team review. This section will be merged into the consolidated Deliverable 3 report once all 15 items are complete.</w:t>
      </w:r>
    </w:p>
    <w:p>
      <w:pPr>
        <w:pStyle w:val="Heading1"/>
        <w:spacing w:after="140" w:before="280"/>
      </w:pPr>
      <w:r>
        <w:rPr>
          <w:rFonts w:ascii="Calibri" w:cs="Calibri" w:eastAsia="Calibri" w:hAnsi="Calibri"/>
        </w:rPr>
        <w:t xml:space="preserve">1. Scope Statement</w:t>
      </w:r>
    </w:p>
    <w:p>
      <w:pPr>
        <w:spacing w:after="120"/>
      </w:pPr>
      <w:r>
        <w:rPr>
          <w:rFonts w:ascii="Calibri" w:cs="Calibri" w:eastAsia="Calibri" w:hAnsi="Calibri"/>
          <w:sz w:val="22"/>
          <w:szCs w:val="22"/>
        </w:rPr>
        <w:t xml:space="preserve">The functional scope assigned to Phase 1 is unchanged from the specification established in Deliverable 2, Section 9.1 and Section 9.4 (Table 21). This section reuses each Phase 1 requirement from Deliverable 2 verbatim and adds the level of implementation detail, rationale, and verification guidance required for Deliverable 3. No new requirements are introduced and no previously stated requirement is removed.</w:t>
      </w:r>
    </w:p>
    <w:p>
      <w:pPr>
        <w:spacing w:after="120"/>
      </w:pPr>
      <w:r>
        <w:rPr>
          <w:rFonts w:ascii="Calibri" w:cs="Calibri" w:eastAsia="Calibri" w:hAnsi="Calibri"/>
          <w:sz w:val="22"/>
          <w:szCs w:val="22"/>
        </w:rPr>
        <w:t xml:space="preserve">Phase 1 working increment, carried forward from Deliverable 2, Section 9.1: a verified user can create, edit, find, and remove a listing, and public browsing and server side authorization both work end to end. Exit criterion: the end to end create, browse, search, edit, and soft delete workflows pass their Must acceptance tests in the deployed test environment.</w:t>
      </w:r>
    </w:p>
    <w:p>
      <w:pPr>
        <w:spacing w:after="120"/>
      </w:pPr>
      <w:r>
        <w:rPr>
          <w:rFonts w:ascii="Calibri" w:cs="Calibri" w:eastAsia="Calibri" w:hAnsi="Calibri"/>
          <w:i/>
          <w:iCs/>
          <w:color w:val="777777"/>
          <w:sz w:val="20"/>
          <w:szCs w:val="20"/>
        </w:rPr>
        <w:t xml:space="preserve">Editorial note: Deliverable 2 assigns functional requirements to phases explicitly (Table 21) but does not tag individual nonfunctional or interface requirements by phase. Sections 3 and 4 below apply editorial judgment to identify which supporting nonfunctional and interface requirements are relevant to Phase 1 based on the subsystems Phase 1 builds. This judgment call is flagged here for team review before the consolidated report is finalized.</w:t>
      </w:r>
    </w:p>
    <w:p>
      <w:pPr>
        <w:pStyle w:val="Heading1"/>
        <w:spacing w:after="140" w:before="280"/>
      </w:pPr>
      <w:r>
        <w:rPr>
          <w:rFonts w:ascii="Calibri" w:cs="Calibri" w:eastAsia="Calibri" w:hAnsi="Calibri"/>
        </w:rPr>
        <w:t xml:space="preserve">2. Functional Requirements, Phase 1</w:t>
      </w:r>
    </w:p>
    <w:p>
      <w:pPr>
        <w:pStyle w:val="Heading2"/>
        <w:spacing w:after="140" w:before="280"/>
      </w:pPr>
      <w:r>
        <w:rPr>
          <w:rFonts w:ascii="Calibri" w:cs="Calibri" w:eastAsia="Calibri" w:hAnsi="Calibri"/>
        </w:rPr>
        <w:t xml:space="preserve">2.1 Accounts and Access Control</w:t>
      </w:r>
    </w:p>
    <w:p>
      <w:pPr>
        <w:spacing w:after="120"/>
      </w:pPr>
      <w:r>
        <w:rPr>
          <w:rFonts w:ascii="Calibri" w:cs="Calibri" w:eastAsia="Calibri" w:hAnsi="Calibri"/>
          <w:sz w:val="22"/>
          <w:szCs w:val="22"/>
        </w:rPr>
        <w:t xml:space="preserve">These requirements implement the role based access control module from Deliverable 1 and Deliverable 2, Section 5.1.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1150"/>
        <w:gridCol w:w="3550"/>
        <w:gridCol w:w="3760"/>
      </w:tblGrid>
      <w:tr>
        <w:trPr>
          <w:tblHeader/>
        </w:trPr>
        <w:tc>
          <w:tcPr>
            <w:tcW w:type="dxa" w:w="90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ID</w:t>
            </w:r>
          </w:p>
        </w:tc>
        <w:tc>
          <w:tcPr>
            <w:tcW w:type="dxa" w:w="115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Priority / Phase</w:t>
            </w:r>
          </w:p>
        </w:tc>
        <w:tc>
          <w:tcPr>
            <w:tcW w:type="dxa" w:w="355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Requirement (carried forward from Deliverable 2)</w:t>
            </w:r>
          </w:p>
        </w:tc>
        <w:tc>
          <w:tcPr>
            <w:tcW w:type="dxa" w:w="376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Additional Detail for Deliverable 3</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FR-AUTH-01</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Must / 1</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The system shall allow registration with an @my.unt.edu or @unt.edu email address and shall require email verification before a user can create a listing or submit a claim.</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Restricting registration to campus email domains keeps listing creation and claim submission limited to verified UNT users, consistent with the system scope in Deliverable 2, Section 2.1. The verification email is sent through the authenticated, free tier email provider identified in interface requirement IF COM 03 (for example a free SMTP account, Mailtrap, or Ethereal during development), consistent with the fallback options in the Deliverable 1 risk management plan. Until verification completes, a registered user is treated as a visitor and may browse but not post or claim. Implemented by the Authentication and RBAC subsystem (Deliverable 2, Section 3.2) and verified through the registration and session tests in the Deliverable 2 traceability matrix.</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FR-AUTH-02</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Must / 1</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A verified user shall be able to sign in, sign out, and request a time limited password reset link without exposing whether another email address has an account.</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Sign in and sign out establish and end the authenticated session credential required on every protected request by IF COM 02, which also requires the server to reject a missing, expired, or unauthorized credential. The password reset endpoint returns the same response whether or not the submitted address has an account, preventing account enumeration. This requirement works with NFR SEC 01 (HTTPS and an authenticated session on every protected request) and NFR SEC 03 (rate limiting on sign in and password reset requests) to protect account access in Phase 1.</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FR-AUTH-03</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Must / 1</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The API shall enforce role permissions for every protected operation. Users may manage their own listings and claims. Moderators may review reports and hide or restore reported content. Administrators may also manage moderator roles, item categories, audit records, and aggregate analytics.</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Phase 1 implements the User role fully and establishes the authorization checks that the Moderator and Administrator roles will rely on once their remaining capabilities are built in Phase 3 (Deliverable 2, Section 9.3). Enforcing role checks inside the API, not only in the interface, satisfies IF SW 03 (the API is the only component permitted to read or write MongoDB application collections directly) and is confirmed through the authorization boundary tests in the Deliverable 2 traceability matrix.</w:t>
            </w:r>
          </w:p>
        </w:tc>
      </w:tr>
    </w:tbl>
    <w:p>
      <w:pPr>
        <w:pStyle w:val="Heading2"/>
        <w:spacing w:after="140" w:before="280"/>
      </w:pPr>
      <w:r>
        <w:rPr>
          <w:rFonts w:ascii="Calibri" w:cs="Calibri" w:eastAsia="Calibri" w:hAnsi="Calibri"/>
        </w:rPr>
        <w:t xml:space="preserve">2.2 Listings</w:t>
      </w:r>
    </w:p>
    <w:p>
      <w:pPr>
        <w:spacing w:after="120"/>
      </w:pPr>
      <w:r>
        <w:rPr>
          <w:rFonts w:ascii="Calibri" w:cs="Calibri" w:eastAsia="Calibri" w:hAnsi="Calibri"/>
          <w:sz w:val="22"/>
          <w:szCs w:val="22"/>
        </w:rPr>
        <w:t xml:space="preserve">These requirements implement the core listing workflow from Deliverable 1 and Deliverable 2, Section 5.2.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1150"/>
        <w:gridCol w:w="3550"/>
        <w:gridCol w:w="3760"/>
      </w:tblGrid>
      <w:tr>
        <w:trPr>
          <w:tblHeader/>
        </w:trPr>
        <w:tc>
          <w:tcPr>
            <w:tcW w:type="dxa" w:w="90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ID</w:t>
            </w:r>
          </w:p>
        </w:tc>
        <w:tc>
          <w:tcPr>
            <w:tcW w:type="dxa" w:w="115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Priority / Phase</w:t>
            </w:r>
          </w:p>
        </w:tc>
        <w:tc>
          <w:tcPr>
            <w:tcW w:type="dxa" w:w="355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Requirement (carried forward from Deliverable 2)</w:t>
            </w:r>
          </w:p>
        </w:tc>
        <w:tc>
          <w:tcPr>
            <w:tcW w:type="dxa" w:w="376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Additional Detail for Deliverable 3</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FR-LIST-01</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Must / 1</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A verified user shall be able to create a Lost or Found listing with a title, category, public description, date, campus building or zone, and item status.</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The campus building or zone field reuses the same location model the Phase 3 map view will plot through IF SW 04, so no schema change is needed when the map is added. Item status is set to Active on creation, which immediately makes the listing eligible for the search and filter behavior in FR SRCH 01 and FR SRCH 02. The listing form itself must satisfy IF UI 02 (keyboard entry, campus building or zone selection, conditional photo requirements, and a preview before submission).</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FR-LIST-02</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Must / 1</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A listing shall accept up to three JPEG, PNG, or WebP images of no more than 5 megabytes each. A Found listing shall include at least one image; a Lost listing may omit images when the owner does not have one.</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The conditional image rule, mandatory for Found and optional for Lost, is enforced on the client through the conditional photo requirement in IF UI 02 and on the server through the upload type and size limits required by NFR SEC 03. Uploaded files use multipart form data and are validated before a permanent file reference is stored, per IF SW 02, which keeps file handling outside the standard JSON request and response cycle defined in IF COM 01.</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FR-LIST-03</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Must / 1</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The owner shall be able to edit or soft delete an Active listing. Other ordinary users shall not be able to modify that listing.</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Soft deletion keeps the listing record and its ownership history in place for the moderation and analytics subsystem built in Phase 3, rather than removing the record outright. The owner only restriction reuses the same role and ownership checks required by FR AUTH 03 and is confirmed by the ownership test named in the Deliverable 2 traceability matrix (create, upload, edit, deletion, ownership, and privacy tests).</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FR-LIST-04</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Must / 1</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A Found listing may store private identifying details that are excluded from public views, search results, and match explanations.</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These are the same private details a claimant will later supply evidence against under FR CLM 01 in Phase 2; Phase 1 is responsible for storing them correctly and keeping them out of every public facing response, which is also a direct obligation of NFR PRIV 01. The privacy boundary around this data must exist from the moment a Found listing is created, even though claim evidence comparison itself is a Phase 2 behavior.</w:t>
            </w:r>
          </w:p>
        </w:tc>
      </w:tr>
    </w:tbl>
    <w:p>
      <w:pPr>
        <w:pStyle w:val="Heading2"/>
        <w:spacing w:after="140" w:before="280"/>
      </w:pPr>
      <w:r>
        <w:rPr>
          <w:rFonts w:ascii="Calibri" w:cs="Calibri" w:eastAsia="Calibri" w:hAnsi="Calibri"/>
        </w:rPr>
        <w:t xml:space="preserve">2.3 Browsing and Search</w:t>
      </w:r>
    </w:p>
    <w:p>
      <w:pPr>
        <w:spacing w:after="120"/>
      </w:pPr>
      <w:r>
        <w:rPr>
          <w:rFonts w:ascii="Calibri" w:cs="Calibri" w:eastAsia="Calibri" w:hAnsi="Calibri"/>
          <w:sz w:val="22"/>
          <w:szCs w:val="22"/>
        </w:rPr>
        <w:t xml:space="preserve">These requirements implement the visitor facing browse and search workflow from Deliverable 2, Section 5.3. The campus map view (FR SRCH 03) is scheduled for Phase 3 and is out of scope for this section.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1150"/>
        <w:gridCol w:w="3550"/>
        <w:gridCol w:w="3760"/>
      </w:tblGrid>
      <w:tr>
        <w:trPr>
          <w:tblHeader/>
        </w:trPr>
        <w:tc>
          <w:tcPr>
            <w:tcW w:type="dxa" w:w="90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ID</w:t>
            </w:r>
          </w:p>
        </w:tc>
        <w:tc>
          <w:tcPr>
            <w:tcW w:type="dxa" w:w="115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Priority / Phase</w:t>
            </w:r>
          </w:p>
        </w:tc>
        <w:tc>
          <w:tcPr>
            <w:tcW w:type="dxa" w:w="355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Requirement (carried forward from Deliverable 2)</w:t>
            </w:r>
          </w:p>
        </w:tc>
        <w:tc>
          <w:tcPr>
            <w:tcW w:type="dxa" w:w="376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Additional Detail for Deliverable 3</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FR-SRCH-01</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Must / 1</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A visitor shall be able to browse Active public listings without signing in and search by title, description, category, brand, color, or keyword.</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Implements the visitor role defined in Deliverable 2, Section 2.1 and Table 1, and satisfies IF UI 01 (public listing pages present only public listing data and provide sign in links before any protected action). This is the requirement exercised by the acceptance criterion for user story US 01 in Deliverable 2, Section 8.</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FR-SRCH-02</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Must / 1</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A visitor shall be able to filter listings by Lost or Found type, category, campus building or zone, and date range, with no more than 20 results returned on one page.</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The 20 result page limit directly implements the server side pagination required by NFR PERF 03 and supports the three second first page response time required by NFR PERF 02 for a test dataset of 5,000 listings. Filtering by campus building or zone reuses the same location field created in FR LIST 01, keeping the Phase 1 filter and the Phase 3 map view consistent.</w:t>
            </w:r>
          </w:p>
        </w:tc>
      </w:tr>
    </w:tbl>
    <w:p>
      <w:pPr>
        <w:pStyle w:val="Heading1"/>
        <w:spacing w:after="140" w:before="280"/>
      </w:pPr>
      <w:r>
        <w:rPr>
          <w:rFonts w:ascii="Calibri" w:cs="Calibri" w:eastAsia="Calibri" w:hAnsi="Calibri"/>
        </w:rPr>
        <w:t xml:space="preserve">3. Supporting Nonfunctional Requirements, Phase 1</w:t>
      </w:r>
    </w:p>
    <w:p>
      <w:pPr>
        <w:spacing w:after="120"/>
      </w:pPr>
      <w:r>
        <w:rPr>
          <w:rFonts w:ascii="Calibri" w:cs="Calibri" w:eastAsia="Calibri" w:hAnsi="Calibri"/>
          <w:sz w:val="22"/>
          <w:szCs w:val="22"/>
        </w:rPr>
        <w:t xml:space="preserve">The nonfunctional requirements below, drawn from Deliverable 2, Sections 6.1 through 6.5, support the Phase 1 functional requirements above. Several requirements span all three phases; the Additional Detail column states which portion of the requirement is exercised in Phase 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1150"/>
        <w:gridCol w:w="3550"/>
        <w:gridCol w:w="3760"/>
      </w:tblGrid>
      <w:tr>
        <w:trPr>
          <w:tblHeader/>
        </w:trPr>
        <w:tc>
          <w:tcPr>
            <w:tcW w:type="dxa" w:w="90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ID</w:t>
            </w:r>
          </w:p>
        </w:tc>
        <w:tc>
          <w:tcPr>
            <w:tcW w:type="dxa" w:w="115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Priority / Phase</w:t>
            </w:r>
          </w:p>
        </w:tc>
        <w:tc>
          <w:tcPr>
            <w:tcW w:type="dxa" w:w="355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Requirement (carried forward from Deliverable 2)</w:t>
            </w:r>
          </w:p>
        </w:tc>
        <w:tc>
          <w:tcPr>
            <w:tcW w:type="dxa" w:w="376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Additional Detail for Deliverable 3</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NFR-PERF-01</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Must</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Under a test load of up to 50 concurrent users, at least 95 percent of ordinary API requests shall complete within two seconds, excluding image upload and external email delivery.</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Applies to the Phase 1 listing and search endpoints, which are the first API traffic the system handles.</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NFR-PERF-02</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Must</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Search shall return the first results page within three seconds for a test dataset of 5,000 listings.</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Directly scoped to FR SRCH 01 and FR SRCH 02; this is the primary Phase 1 performance target.</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NFR-PERF-03</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Must</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Search results shall use server side pagination and shall return no more than 20 listings per page.</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Implements the page size limit stated in FR SRCH 02.</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NFR-SEC-01</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Must</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Production traffic shall use HTTPS, and every protected request shall require an authenticated session.</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Foundational to FR AUTH 02 and every protected listing and claim route built from Phase 1 onward.</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NFR-SEC-02</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Must</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Passwords shall be hashed with bcrypt and shall never be stored or logged in plain text.</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Protects the account data created by FR AUTH 01 from the first registration onward.</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NFR-SEC-03</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Must</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The server shall validate request fields, enforce upload type and size limits, and rate limit sign in, password reset, claim, and messaging requests.</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The sign in, password reset, and upload portions apply in Phase 1; the claim and messaging portions apply once those features are built in Phase 2 and Phase 3.</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NFR-PRIV-01</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Must</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Public responses and application logs shall not expose passwords, tokens, email addresses, private listing details, claim evidence, or message contents.</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The password, token, email address, and private listing detail protections apply from Phase 1; claim evidence and message content protections extend this same rule once those features exist.</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NFR-REL-01</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Must</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The system shall confirm a database write before reporting that a listing, claim, message, or status change succeeded.</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Applies to Phase 1 listing creation, edits, and status changes.</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NFR-USA-01</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Must</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Forms shall clearly identify required fields, preserve valid values after a validation error, and place a specific error message near the affected field.</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Applies to the Phase 1 registration and listing forms.</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NFR-ACC-01</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Must</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Registration, sign in, listing, search, claim, and messaging workflows shall satisfy applicable WCAG 2.1 Level AA criteria for keyboard operation, visible focus, form labels, error identification, and use of color.</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The registration, sign in, listing, and search portions apply to Phase 1 directly; the claim and messaging portions are verified once those workflows are built.</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NFR-COMP-01</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Should</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Primary workflows shall support current versions of Chrome, Edge, Firefox, and Safari and shall remain usable from a 360 pixel mobile viewport through desktop sizes.</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Applies to the Phase 1 registration, listing, and search screens as they are built.</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NFR-MNT-01</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Must</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The repository README shall document setup steps, required environment variable names, test commands, and deployment steps, without including secret values.</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Established at the start of Phase 1 so the repository stays usable by every team member and by course staff from the first working build.</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NFR-TST-01</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Must</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Automated tests shall cover authorization boundaries and the main successful and unsuccessful listing, matching, claim, and messaging paths. No release shall contain a known failing Must acceptance test.</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The authorization boundary and listing path portions apply to Phase 1; the matching, claim, and messaging path portions are satisfied as those features are added in later phases.</w:t>
            </w:r>
          </w:p>
        </w:tc>
      </w:tr>
    </w:tbl>
    <w:p>
      <w:pPr>
        <w:pStyle w:val="Heading1"/>
        <w:spacing w:after="140" w:before="280"/>
      </w:pPr>
      <w:r>
        <w:rPr>
          <w:rFonts w:ascii="Calibri" w:cs="Calibri" w:eastAsia="Calibri" w:hAnsi="Calibri"/>
        </w:rPr>
        <w:t xml:space="preserve">4. Supporting Interface Requirements, Phase 1</w:t>
      </w:r>
    </w:p>
    <w:p>
      <w:pPr>
        <w:spacing w:after="120"/>
      </w:pPr>
      <w:r>
        <w:rPr>
          <w:rFonts w:ascii="Calibri" w:cs="Calibri" w:eastAsia="Calibri" w:hAnsi="Calibri"/>
          <w:sz w:val="22"/>
          <w:szCs w:val="22"/>
        </w:rPr>
        <w:t xml:space="preserve">The interface requirements below, drawn from Deliverable 2, Section 7, support the Phase 1 functional requirements above.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1150"/>
        <w:gridCol w:w="3550"/>
        <w:gridCol w:w="3760"/>
      </w:tblGrid>
      <w:tr>
        <w:trPr>
          <w:tblHeader/>
        </w:trPr>
        <w:tc>
          <w:tcPr>
            <w:tcW w:type="dxa" w:w="90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ID</w:t>
            </w:r>
          </w:p>
        </w:tc>
        <w:tc>
          <w:tcPr>
            <w:tcW w:type="dxa" w:w="115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Priority / Phase</w:t>
            </w:r>
          </w:p>
        </w:tc>
        <w:tc>
          <w:tcPr>
            <w:tcW w:type="dxa" w:w="355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Requirement (carried forward from Deliverable 2)</w:t>
            </w:r>
          </w:p>
        </w:tc>
        <w:tc>
          <w:tcPr>
            <w:tcW w:type="dxa" w:w="376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Additional Detail for Deliverable 3</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IF-UI-01</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Interface</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Public listing pages shall present only public listing data and shall provide sign in links before any protected action.</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Directly implements FR SRCH 01 for the visitor role.</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IF-UI-02</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Interface</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The listing form shall support keyboard entry, campus building or zone selection, conditional photo requirements, and a preview before submission.</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Directly implements FR LIST 01 and FR LIST 02.</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IF-SW-01</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Interface</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The React client shall call versioned Express REST endpoints and shall exchange JSON, except when uploading files.</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Foundational client to API contract for every Phase 1 endpoint.</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IF-SW-02</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Interface</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File uploads shall use multipart form data and shall be validated before a permanent file reference is stored.</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Directly implements the image handling required by FR LIST 02.</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IF-SW-03</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Interface</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The API shall be the only application component that directly reads or writes MongoDB application collections.</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Architectural rule that underlies every Phase 1 requirement involving stored data.</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IF-COM-01</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Interface</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Client and API communication shall use HTTPS with JSON request and response bodies and documented HTTP status codes.</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Baseline communication contract for every Phase 1 endpoint.</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IF-COM-02</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Interface</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Protected requests shall carry the configured authenticated session credential, and the server shall reject a missing, expired, or unauthorized credential.</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Directly implements the session behavior required by FR AUTH 02 and FR AUTH 03.</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IF-COM-03</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Interface</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Email delivery shall use an authenticated provider. While a message thread is open, the client shall retrieve updates through REST polling no more frequently than once every 15 seconds and shall also provide a manual refresh; the system shall not require a real time socket connection.</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Only the first sentence applies to Phase 1, which uses the authenticated email provider for account verification under FR AUTH 01. The polling behavior described in the remainder of this requirement belongs to the Phase 3 messaging feature (FR COM 02) and is out of Phase 1 scope.</w:t>
            </w:r>
          </w:p>
        </w:tc>
      </w:tr>
      <w:tr>
        <w:tc>
          <w:tcPr>
            <w:tcW w:type="dxa" w:w="900"/>
            <w:tcMar>
              <w:top w:type="dxa" w:w="80"/>
              <w:left w:type="dxa" w:w="100"/>
              <w:bottom w:type="dxa" w:w="80"/>
              <w:right w:type="dxa" w:w="100"/>
            </w:tcMar>
          </w:tcPr>
          <w:p>
            <w:r>
              <w:rPr>
                <w:rFonts w:ascii="Calibri" w:cs="Calibri" w:eastAsia="Calibri" w:hAnsi="Calibri"/>
                <w:b w:val="false"/>
                <w:bCs w:val="false"/>
                <w:sz w:val="19"/>
                <w:szCs w:val="19"/>
              </w:rPr>
              <w:t xml:space="preserve">IF-HW-01</w:t>
            </w:r>
          </w:p>
        </w:tc>
        <w:tc>
          <w:tcPr>
            <w:tcW w:type="dxa" w:w="1150"/>
            <w:tcMar>
              <w:top w:type="dxa" w:w="80"/>
              <w:left w:type="dxa" w:w="100"/>
              <w:bottom w:type="dxa" w:w="80"/>
              <w:right w:type="dxa" w:w="100"/>
            </w:tcMar>
          </w:tcPr>
          <w:p>
            <w:r>
              <w:rPr>
                <w:rFonts w:ascii="Calibri" w:cs="Calibri" w:eastAsia="Calibri" w:hAnsi="Calibri"/>
                <w:b w:val="false"/>
                <w:bCs w:val="false"/>
                <w:sz w:val="19"/>
                <w:szCs w:val="19"/>
              </w:rPr>
              <w:t xml:space="preserve">Interface</w:t>
            </w:r>
          </w:p>
        </w:tc>
        <w:tc>
          <w:tcPr>
            <w:tcW w:type="dxa" w:w="3550"/>
            <w:tcMar>
              <w:top w:type="dxa" w:w="80"/>
              <w:left w:type="dxa" w:w="100"/>
              <w:bottom w:type="dxa" w:w="80"/>
              <w:right w:type="dxa" w:w="100"/>
            </w:tcMar>
          </w:tcPr>
          <w:p>
            <w:r>
              <w:rPr>
                <w:rFonts w:ascii="Calibri" w:cs="Calibri" w:eastAsia="Calibri" w:hAnsi="Calibri"/>
                <w:b w:val="false"/>
                <w:bCs w:val="false"/>
                <w:sz w:val="19"/>
                <w:szCs w:val="19"/>
              </w:rPr>
              <w:t xml:space="preserve">The system shall require no specialized hardware. It shall operate in a supported browser on a desktop computer, laptop, tablet, or phone. A user may select an existing image or use the device camera through the browser's standard file picker. The application does not require continuous GPS access, NFC, or barcode readers.</w:t>
            </w:r>
          </w:p>
        </w:tc>
        <w:tc>
          <w:tcPr>
            <w:tcW w:type="dxa" w:w="3760"/>
            <w:tcMar>
              <w:top w:type="dxa" w:w="80"/>
              <w:left w:type="dxa" w:w="100"/>
              <w:bottom w:type="dxa" w:w="80"/>
              <w:right w:type="dxa" w:w="100"/>
            </w:tcMar>
          </w:tcPr>
          <w:p>
            <w:r>
              <w:rPr>
                <w:rFonts w:ascii="Calibri" w:cs="Calibri" w:eastAsia="Calibri" w:hAnsi="Calibri"/>
                <w:b w:val="false"/>
                <w:bCs w:val="false"/>
                <w:sz w:val="19"/>
                <w:szCs w:val="19"/>
              </w:rPr>
              <w:t xml:space="preserve">General platform constraint that applies from the first Phase 1 build onward.</w:t>
            </w:r>
          </w:p>
        </w:tc>
      </w:tr>
    </w:tbl>
    <w:p>
      <w:pPr>
        <w:pStyle w:val="Heading1"/>
        <w:spacing w:after="140" w:before="280"/>
      </w:pPr>
      <w:r>
        <w:rPr>
          <w:rFonts w:ascii="Calibri" w:cs="Calibri" w:eastAsia="Calibri" w:hAnsi="Calibri"/>
        </w:rPr>
        <w:t xml:space="preserve">5. Phase 1 Traceability Summary</w:t>
      </w:r>
    </w:p>
    <w:p>
      <w:pPr>
        <w:spacing w:after="120"/>
      </w:pPr>
      <w:r>
        <w:rPr>
          <w:rFonts w:ascii="Calibri" w:cs="Calibri" w:eastAsia="Calibri" w:hAnsi="Calibri"/>
          <w:sz w:val="22"/>
          <w:szCs w:val="22"/>
        </w:rPr>
        <w:t xml:space="preserve">The rows below are the Phase 1 subset of the requirements traceability matrix in Deliverable 2, Section 10 (Table 22), confirming the subsystem and planned verification approach for each Phase 1 requirement area.</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700"/>
        <w:gridCol w:w="1700"/>
        <w:gridCol w:w="2500"/>
        <w:gridCol w:w="700"/>
        <w:gridCol w:w="2760"/>
      </w:tblGrid>
      <w:tr>
        <w:trPr>
          <w:tblHeader/>
        </w:trPr>
        <w:tc>
          <w:tcPr>
            <w:tcW w:type="dxa" w:w="170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Requirement Area</w:t>
            </w:r>
          </w:p>
        </w:tc>
        <w:tc>
          <w:tcPr>
            <w:tcW w:type="dxa" w:w="170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Subsystem</w:t>
            </w:r>
          </w:p>
        </w:tc>
        <w:tc>
          <w:tcPr>
            <w:tcW w:type="dxa" w:w="250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Requirement IDs</w:t>
            </w:r>
          </w:p>
        </w:tc>
        <w:tc>
          <w:tcPr>
            <w:tcW w:type="dxa" w:w="70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Phase</w:t>
            </w:r>
          </w:p>
        </w:tc>
        <w:tc>
          <w:tcPr>
            <w:tcW w:type="dxa" w:w="2760"/>
            <w:shd w:fill="1F3B57" w:val="clear"/>
            <w:tcMar>
              <w:top w:type="dxa" w:w="80"/>
              <w:left w:type="dxa" w:w="100"/>
              <w:bottom w:type="dxa" w:w="80"/>
              <w:right w:type="dxa" w:w="100"/>
            </w:tcMar>
          </w:tcPr>
          <w:p>
            <w:r>
              <w:rPr>
                <w:rFonts w:ascii="Calibri" w:cs="Calibri" w:eastAsia="Calibri" w:hAnsi="Calibri"/>
                <w:b/>
                <w:bCs/>
                <w:color w:val="FFFFFF"/>
                <w:sz w:val="19"/>
                <w:szCs w:val="19"/>
              </w:rPr>
              <w:t xml:space="preserve">Planned Verification</w:t>
            </w:r>
          </w:p>
        </w:tc>
      </w:tr>
      <w:tr>
        <w:tc>
          <w:tcPr>
            <w:tcW w:type="dxa" w:w="1700"/>
            <w:tcMar>
              <w:top w:type="dxa" w:w="80"/>
              <w:left w:type="dxa" w:w="100"/>
              <w:bottom w:type="dxa" w:w="80"/>
              <w:right w:type="dxa" w:w="100"/>
            </w:tcMar>
          </w:tcPr>
          <w:p>
            <w:r>
              <w:rPr>
                <w:rFonts w:ascii="Calibri" w:cs="Calibri" w:eastAsia="Calibri" w:hAnsi="Calibri"/>
                <w:b w:val="false"/>
                <w:bCs w:val="false"/>
                <w:sz w:val="19"/>
                <w:szCs w:val="19"/>
              </w:rPr>
              <w:t xml:space="preserve">Accounts and access</w:t>
            </w:r>
          </w:p>
        </w:tc>
        <w:tc>
          <w:tcPr>
            <w:tcW w:type="dxa" w:w="1700"/>
            <w:tcMar>
              <w:top w:type="dxa" w:w="80"/>
              <w:left w:type="dxa" w:w="100"/>
              <w:bottom w:type="dxa" w:w="80"/>
              <w:right w:type="dxa" w:w="100"/>
            </w:tcMar>
          </w:tcPr>
          <w:p>
            <w:r>
              <w:rPr>
                <w:rFonts w:ascii="Calibri" w:cs="Calibri" w:eastAsia="Calibri" w:hAnsi="Calibri"/>
                <w:b w:val="false"/>
                <w:bCs w:val="false"/>
                <w:sz w:val="19"/>
                <w:szCs w:val="19"/>
              </w:rPr>
              <w:t xml:space="preserve">Authentication and RBAC</w:t>
            </w:r>
          </w:p>
        </w:tc>
        <w:tc>
          <w:tcPr>
            <w:tcW w:type="dxa" w:w="2500"/>
            <w:tcMar>
              <w:top w:type="dxa" w:w="80"/>
              <w:left w:type="dxa" w:w="100"/>
              <w:bottom w:type="dxa" w:w="80"/>
              <w:right w:type="dxa" w:w="100"/>
            </w:tcMar>
          </w:tcPr>
          <w:p>
            <w:r>
              <w:rPr>
                <w:rFonts w:ascii="Calibri" w:cs="Calibri" w:eastAsia="Calibri" w:hAnsi="Calibri"/>
                <w:b w:val="false"/>
                <w:bCs w:val="false"/>
                <w:sz w:val="19"/>
                <w:szCs w:val="19"/>
              </w:rPr>
              <w:t xml:space="preserve">FR-AUTH-01 to 03</w:t>
            </w:r>
          </w:p>
        </w:tc>
        <w:tc>
          <w:tcPr>
            <w:tcW w:type="dxa" w:w="700"/>
            <w:tcMar>
              <w:top w:type="dxa" w:w="80"/>
              <w:left w:type="dxa" w:w="100"/>
              <w:bottom w:type="dxa" w:w="80"/>
              <w:right w:type="dxa" w:w="100"/>
            </w:tcMar>
          </w:tcPr>
          <w:p>
            <w:r>
              <w:rPr>
                <w:rFonts w:ascii="Calibri" w:cs="Calibri" w:eastAsia="Calibri" w:hAnsi="Calibri"/>
                <w:b w:val="false"/>
                <w:bCs w:val="false"/>
                <w:sz w:val="19"/>
                <w:szCs w:val="19"/>
              </w:rPr>
              <w:t xml:space="preserve">1</w:t>
            </w:r>
          </w:p>
        </w:tc>
        <w:tc>
          <w:tcPr>
            <w:tcW w:type="dxa" w:w="2760"/>
            <w:tcMar>
              <w:top w:type="dxa" w:w="80"/>
              <w:left w:type="dxa" w:w="100"/>
              <w:bottom w:type="dxa" w:w="80"/>
              <w:right w:type="dxa" w:w="100"/>
            </w:tcMar>
          </w:tcPr>
          <w:p>
            <w:r>
              <w:rPr>
                <w:rFonts w:ascii="Calibri" w:cs="Calibri" w:eastAsia="Calibri" w:hAnsi="Calibri"/>
                <w:b w:val="false"/>
                <w:bCs w:val="false"/>
                <w:sz w:val="19"/>
                <w:szCs w:val="19"/>
              </w:rPr>
              <w:t xml:space="preserve">Registration, session, password reset, and authorization tests</w:t>
            </w:r>
          </w:p>
        </w:tc>
      </w:tr>
      <w:tr>
        <w:tc>
          <w:tcPr>
            <w:tcW w:type="dxa" w:w="1700"/>
            <w:tcMar>
              <w:top w:type="dxa" w:w="80"/>
              <w:left w:type="dxa" w:w="100"/>
              <w:bottom w:type="dxa" w:w="80"/>
              <w:right w:type="dxa" w:w="100"/>
            </w:tcMar>
          </w:tcPr>
          <w:p>
            <w:r>
              <w:rPr>
                <w:rFonts w:ascii="Calibri" w:cs="Calibri" w:eastAsia="Calibri" w:hAnsi="Calibri"/>
                <w:b w:val="false"/>
                <w:bCs w:val="false"/>
                <w:sz w:val="19"/>
                <w:szCs w:val="19"/>
              </w:rPr>
              <w:t xml:space="preserve">Listings</w:t>
            </w:r>
          </w:p>
        </w:tc>
        <w:tc>
          <w:tcPr>
            <w:tcW w:type="dxa" w:w="1700"/>
            <w:tcMar>
              <w:top w:type="dxa" w:w="80"/>
              <w:left w:type="dxa" w:w="100"/>
              <w:bottom w:type="dxa" w:w="80"/>
              <w:right w:type="dxa" w:w="100"/>
            </w:tcMar>
          </w:tcPr>
          <w:p>
            <w:r>
              <w:rPr>
                <w:rFonts w:ascii="Calibri" w:cs="Calibri" w:eastAsia="Calibri" w:hAnsi="Calibri"/>
                <w:b w:val="false"/>
                <w:bCs w:val="false"/>
                <w:sz w:val="19"/>
                <w:szCs w:val="19"/>
              </w:rPr>
              <w:t xml:space="preserve">Listing management</w:t>
            </w:r>
          </w:p>
        </w:tc>
        <w:tc>
          <w:tcPr>
            <w:tcW w:type="dxa" w:w="2500"/>
            <w:tcMar>
              <w:top w:type="dxa" w:w="80"/>
              <w:left w:type="dxa" w:w="100"/>
              <w:bottom w:type="dxa" w:w="80"/>
              <w:right w:type="dxa" w:w="100"/>
            </w:tcMar>
          </w:tcPr>
          <w:p>
            <w:r>
              <w:rPr>
                <w:rFonts w:ascii="Calibri" w:cs="Calibri" w:eastAsia="Calibri" w:hAnsi="Calibri"/>
                <w:b w:val="false"/>
                <w:bCs w:val="false"/>
                <w:sz w:val="19"/>
                <w:szCs w:val="19"/>
              </w:rPr>
              <w:t xml:space="preserve">FR-LIST-01 to 04</w:t>
            </w:r>
          </w:p>
        </w:tc>
        <w:tc>
          <w:tcPr>
            <w:tcW w:type="dxa" w:w="700"/>
            <w:tcMar>
              <w:top w:type="dxa" w:w="80"/>
              <w:left w:type="dxa" w:w="100"/>
              <w:bottom w:type="dxa" w:w="80"/>
              <w:right w:type="dxa" w:w="100"/>
            </w:tcMar>
          </w:tcPr>
          <w:p>
            <w:r>
              <w:rPr>
                <w:rFonts w:ascii="Calibri" w:cs="Calibri" w:eastAsia="Calibri" w:hAnsi="Calibri"/>
                <w:b w:val="false"/>
                <w:bCs w:val="false"/>
                <w:sz w:val="19"/>
                <w:szCs w:val="19"/>
              </w:rPr>
              <w:t xml:space="preserve">1</w:t>
            </w:r>
          </w:p>
        </w:tc>
        <w:tc>
          <w:tcPr>
            <w:tcW w:type="dxa" w:w="2760"/>
            <w:tcMar>
              <w:top w:type="dxa" w:w="80"/>
              <w:left w:type="dxa" w:w="100"/>
              <w:bottom w:type="dxa" w:w="80"/>
              <w:right w:type="dxa" w:w="100"/>
            </w:tcMar>
          </w:tcPr>
          <w:p>
            <w:r>
              <w:rPr>
                <w:rFonts w:ascii="Calibri" w:cs="Calibri" w:eastAsia="Calibri" w:hAnsi="Calibri"/>
                <w:b w:val="false"/>
                <w:bCs w:val="false"/>
                <w:sz w:val="19"/>
                <w:szCs w:val="19"/>
              </w:rPr>
              <w:t xml:space="preserve">Create, upload, edit, deletion, ownership, and privacy tests</w:t>
            </w:r>
          </w:p>
        </w:tc>
      </w:tr>
      <w:tr>
        <w:tc>
          <w:tcPr>
            <w:tcW w:type="dxa" w:w="1700"/>
            <w:tcMar>
              <w:top w:type="dxa" w:w="80"/>
              <w:left w:type="dxa" w:w="100"/>
              <w:bottom w:type="dxa" w:w="80"/>
              <w:right w:type="dxa" w:w="100"/>
            </w:tcMar>
          </w:tcPr>
          <w:p>
            <w:r>
              <w:rPr>
                <w:rFonts w:ascii="Calibri" w:cs="Calibri" w:eastAsia="Calibri" w:hAnsi="Calibri"/>
                <w:b w:val="false"/>
                <w:bCs w:val="false"/>
                <w:sz w:val="19"/>
                <w:szCs w:val="19"/>
              </w:rPr>
              <w:t xml:space="preserve">Search and map</w:t>
            </w:r>
          </w:p>
        </w:tc>
        <w:tc>
          <w:tcPr>
            <w:tcW w:type="dxa" w:w="1700"/>
            <w:tcMar>
              <w:top w:type="dxa" w:w="80"/>
              <w:left w:type="dxa" w:w="100"/>
              <w:bottom w:type="dxa" w:w="80"/>
              <w:right w:type="dxa" w:w="100"/>
            </w:tcMar>
          </w:tcPr>
          <w:p>
            <w:r>
              <w:rPr>
                <w:rFonts w:ascii="Calibri" w:cs="Calibri" w:eastAsia="Calibri" w:hAnsi="Calibri"/>
                <w:b w:val="false"/>
                <w:bCs w:val="false"/>
                <w:sz w:val="19"/>
                <w:szCs w:val="19"/>
              </w:rPr>
              <w:t xml:space="preserve">Search and map</w:t>
            </w:r>
          </w:p>
        </w:tc>
        <w:tc>
          <w:tcPr>
            <w:tcW w:type="dxa" w:w="2500"/>
            <w:tcMar>
              <w:top w:type="dxa" w:w="80"/>
              <w:left w:type="dxa" w:w="100"/>
              <w:bottom w:type="dxa" w:w="80"/>
              <w:right w:type="dxa" w:w="100"/>
            </w:tcMar>
          </w:tcPr>
          <w:p>
            <w:r>
              <w:rPr>
                <w:rFonts w:ascii="Calibri" w:cs="Calibri" w:eastAsia="Calibri" w:hAnsi="Calibri"/>
                <w:b w:val="false"/>
                <w:bCs w:val="false"/>
                <w:sz w:val="19"/>
                <w:szCs w:val="19"/>
              </w:rPr>
              <w:t xml:space="preserve">FR-SRCH-01, FR-SRCH-02 (Phase 1 only; FR-SRCH-03 is Phase 3)</w:t>
            </w:r>
          </w:p>
        </w:tc>
        <w:tc>
          <w:tcPr>
            <w:tcW w:type="dxa" w:w="700"/>
            <w:tcMar>
              <w:top w:type="dxa" w:w="80"/>
              <w:left w:type="dxa" w:w="100"/>
              <w:bottom w:type="dxa" w:w="80"/>
              <w:right w:type="dxa" w:w="100"/>
            </w:tcMar>
          </w:tcPr>
          <w:p>
            <w:r>
              <w:rPr>
                <w:rFonts w:ascii="Calibri" w:cs="Calibri" w:eastAsia="Calibri" w:hAnsi="Calibri"/>
                <w:b w:val="false"/>
                <w:bCs w:val="false"/>
                <w:sz w:val="19"/>
                <w:szCs w:val="19"/>
              </w:rPr>
              <w:t xml:space="preserve">1</w:t>
            </w:r>
          </w:p>
        </w:tc>
        <w:tc>
          <w:tcPr>
            <w:tcW w:type="dxa" w:w="2760"/>
            <w:tcMar>
              <w:top w:type="dxa" w:w="80"/>
              <w:left w:type="dxa" w:w="100"/>
              <w:bottom w:type="dxa" w:w="80"/>
              <w:right w:type="dxa" w:w="100"/>
            </w:tcMar>
          </w:tcPr>
          <w:p>
            <w:r>
              <w:rPr>
                <w:rFonts w:ascii="Calibri" w:cs="Calibri" w:eastAsia="Calibri" w:hAnsi="Calibri"/>
                <w:b w:val="false"/>
                <w:bCs w:val="false"/>
                <w:sz w:val="19"/>
                <w:szCs w:val="19"/>
              </w:rPr>
              <w:t xml:space="preserve">Browse, search, filter, pagination, and privacy tests</w:t>
            </w:r>
          </w:p>
        </w:tc>
      </w:tr>
    </w:tbl>
    <w:p>
      <w:pPr>
        <w:pStyle w:val="Heading1"/>
        <w:spacing w:after="140" w:before="280"/>
      </w:pPr>
      <w:r>
        <w:rPr>
          <w:rFonts w:ascii="Calibri" w:cs="Calibri" w:eastAsia="Calibri" w:hAnsi="Calibri"/>
        </w:rPr>
        <w:t xml:space="preserve">6. Relationship to Deliverable 1 and Deliverable 2</w:t>
      </w:r>
    </w:p>
    <w:p>
      <w:pPr>
        <w:spacing w:after="120"/>
      </w:pPr>
      <w:r>
        <w:rPr>
          <w:rFonts w:ascii="Calibri" w:cs="Calibri" w:eastAsia="Calibri" w:hAnsi="Calibri"/>
          <w:sz w:val="22"/>
          <w:szCs w:val="22"/>
        </w:rPr>
        <w:t xml:space="preserve">Every requirement above carries forward the zero budget, free tier approach established in the Deliverable 1 risk management plan and restated in Deliverable 2, Section 3.1: MongoDB Atlas on its free tier, a free or no cost authenticated email provider such as Mailtrap or Ethereal during development, and deployment to a free tier host such as Render or Vercel. No Phase 1 requirement introduces a paid dependency, and the core versus stretch feature split from Deliverable 1 remains the team's contingency plan if schedule risk occurs during implementation.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University of North Texas (UNT), CSCE 5430, 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2026-10-15T20:29:46.426Z</dcterms:created>
  <dcterms:modified xsi:type="dcterms:W3CDTF">2026-10-15T20:29:46.436Z</dcterms:modified>
</cp:coreProperties>
</file>

<file path=docProps/custom.xml><?xml version="1.0" encoding="utf-8"?>
<Properties xmlns="http://schemas.openxmlformats.org/officeDocument/2006/custom-properties" xmlns:vt="http://schemas.openxmlformats.org/officeDocument/2006/docPropsVTypes"/>
</file>