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57"/>
          <w:sz w:val="32"/>
          <w:szCs w:val="32"/>
        </w:rPr>
        <w:t xml:space="preserve">Deliverable 3: Peer Review Feedback</w:t>
      </w:r>
    </w:p>
    <w:p>
      <w:pPr>
        <w:spacing w:after="60"/>
      </w:pPr>
      <w:r>
        <w:rPr>
          <w:rFonts w:ascii="Calibri" w:cs="Calibri" w:eastAsia="Calibri" w:hAnsi="Calibri"/>
          <w:i/>
          <w:iCs/>
          <w:color w:val="555555"/>
          <w:sz w:val="20"/>
          <w:szCs w:val="20"/>
        </w:rPr>
        <w:t xml:space="preserve">Lost and Found for Campus, Team Falcons, CSCE 5430, Fall 2026</w:t>
      </w:r>
    </w:p>
    <w:p>
      <w:pPr>
        <w:pStyle w:val="Heading1"/>
        <w:spacing w:after="130" w:before="260"/>
      </w:pPr>
      <w:r>
        <w:rPr>
          <w:rFonts w:ascii="Calibri" w:cs="Calibri" w:eastAsia="Calibri" w:hAnsi="Calibri"/>
        </w:rPr>
        <w:t xml:space="preserve">1. Source of This Feedback</w:t>
      </w:r>
    </w:p>
    <w:p>
      <w:pPr>
        <w:spacing w:after="140"/>
      </w:pPr>
      <w:r>
        <w:rPr>
          <w:rFonts w:ascii="Calibri" w:cs="Calibri" w:eastAsia="Calibri" w:hAnsi="Calibri"/>
          <w:sz w:val="22"/>
          <w:szCs w:val="22"/>
        </w:rPr>
        <w:t xml:space="preserve">No separate peer review session covering Deliverable 3 was held with Team Medley. The feedback addressed in this section is the feedback Team Medley gave on the Deliverable 2 requirements during the Deliverable 2 Requirements Review Workshop, documented in the Team Falcons Workshop 2 Requirements Review Report. Several of Team Medley's questions were explicitly left as open items for Team Falcons to decide during Deliverable 3. This section records what the team actually did about every concern raised, now that Phase 1 implementation is underway.</w:t>
      </w:r>
    </w:p>
    <w:p>
      <w:pPr>
        <w:spacing w:after="140"/>
      </w:pPr>
      <w:r>
        <w:rPr>
          <w:rFonts w:ascii="Calibri" w:cs="Calibri" w:eastAsia="Calibri" w:hAnsi="Calibri"/>
          <w:sz w:val="22"/>
          <w:szCs w:val="22"/>
        </w:rPr>
        <w:t xml:space="preserve">Team Medley asked ten questions in total about the Lost and Found for Campus Deliverable 2, most raised by Kelsey Porter, with additional questions from Kevin Edger and Dawei Gao, and a closing remark from Ana Fontela. Responses were given live by Waleed Mirza during the session. One suggestion was accepted, one was explicitly rejected as out of scope, and three were deferred to Deliverable 3 as open items. The table in Section 2 covers every concern raised, including the ones already settled at the workshop, since the rubric calls for showing that concerns were addressed, not only the ones left open.</w:t>
      </w:r>
    </w:p>
    <w:p>
      <w:pPr>
        <w:pStyle w:val="Heading1"/>
        <w:spacing w:after="130" w:before="260"/>
      </w:pPr>
      <w:r>
        <w:rPr>
          <w:rFonts w:ascii="Calibri" w:cs="Calibri" w:eastAsia="Calibri" w:hAnsi="Calibri"/>
        </w:rPr>
        <w:t xml:space="preserve">2. Feedback, Workshop Disposition, and Deliverable 3 Action</w:t>
      </w:r>
    </w:p>
    <w:p>
      <w:pPr>
        <w:sectPr>
          <w:headerReference w:type="default" r:id="rId7"/>
          <w:footerReference w:type="default" r:id="rId8"/>
          <w:type w:val="nextPage"/>
          <w:pgSz w:w="12240" w:h="15840" w:orient="portrait"/>
          <w:pgMar w:top="1440" w:right="1440" w:bottom="1440" w:left="1440" w:header="708" w:footer="708" w:gutter="0"/>
          <w:pgNumType/>
          <w:docGrid w:linePitch="360"/>
        </w:sectPr>
      </w:pPr>
    </w:p>
    <w:tbl>
      <w:tblPr>
        <w:tblW w:type="dxa" w:w="1360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1300"/>
        <w:gridCol w:w="2300"/>
        <w:gridCol w:w="6800"/>
      </w:tblGrid>
      <w:tr>
        <w:trPr>
          <w:cantSplit/>
          <w:tblHeader/>
        </w:trPr>
        <w:tc>
          <w:tcPr>
            <w:tcW w:type="dxa" w:w="3200"/>
            <w:shd w:fill="1F3B57" w:val="clear"/>
            <w:tcMar>
              <w:top w:type="dxa" w:w="70"/>
              <w:left w:type="dxa" w:w="90"/>
              <w:bottom w:type="dxa" w:w="70"/>
              <w:right w:type="dxa" w:w="90"/>
            </w:tcMar>
          </w:tcPr>
          <w:p>
            <w:r>
              <w:rPr>
                <w:rFonts w:ascii="Calibri" w:cs="Calibri" w:eastAsia="Calibri" w:hAnsi="Calibri"/>
                <w:b/>
                <w:bCs/>
                <w:i w:val="false"/>
                <w:iCs w:val="false"/>
                <w:color w:val="FFFFFF"/>
                <w:sz w:val="19"/>
                <w:szCs w:val="19"/>
              </w:rPr>
              <w:t xml:space="preserve">Concern / Suggestion</w:t>
            </w:r>
          </w:p>
        </w:tc>
        <w:tc>
          <w:tcPr>
            <w:tcW w:type="dxa" w:w="1300"/>
            <w:shd w:fill="1F3B57" w:val="clear"/>
            <w:tcMar>
              <w:top w:type="dxa" w:w="70"/>
              <w:left w:type="dxa" w:w="90"/>
              <w:bottom w:type="dxa" w:w="70"/>
              <w:right w:type="dxa" w:w="90"/>
            </w:tcMar>
          </w:tcPr>
          <w:p>
            <w:r>
              <w:rPr>
                <w:rFonts w:ascii="Calibri" w:cs="Calibri" w:eastAsia="Calibri" w:hAnsi="Calibri"/>
                <w:b/>
                <w:bCs/>
                <w:i w:val="false"/>
                <w:iCs w:val="false"/>
                <w:color w:val="FFFFFF"/>
                <w:sz w:val="19"/>
                <w:szCs w:val="19"/>
              </w:rPr>
              <w:t xml:space="preserve">Raised By</w:t>
            </w:r>
          </w:p>
        </w:tc>
        <w:tc>
          <w:tcPr>
            <w:tcW w:type="dxa" w:w="2300"/>
            <w:shd w:fill="1F3B57" w:val="clear"/>
            <w:tcMar>
              <w:top w:type="dxa" w:w="70"/>
              <w:left w:type="dxa" w:w="90"/>
              <w:bottom w:type="dxa" w:w="70"/>
              <w:right w:type="dxa" w:w="90"/>
            </w:tcMar>
          </w:tcPr>
          <w:p>
            <w:r>
              <w:rPr>
                <w:rFonts w:ascii="Calibri" w:cs="Calibri" w:eastAsia="Calibri" w:hAnsi="Calibri"/>
                <w:b/>
                <w:bCs/>
                <w:i w:val="false"/>
                <w:iCs w:val="false"/>
                <w:color w:val="FFFFFF"/>
                <w:sz w:val="19"/>
                <w:szCs w:val="19"/>
              </w:rPr>
              <w:t xml:space="preserve">D2 Workshop Disposition</w:t>
            </w:r>
          </w:p>
        </w:tc>
        <w:tc>
          <w:tcPr>
            <w:tcW w:type="dxa" w:w="6800"/>
            <w:shd w:fill="1F3B57" w:val="clear"/>
            <w:tcMar>
              <w:top w:type="dxa" w:w="70"/>
              <w:left w:type="dxa" w:w="90"/>
              <w:bottom w:type="dxa" w:w="70"/>
              <w:right w:type="dxa" w:w="90"/>
            </w:tcMar>
          </w:tcPr>
          <w:p>
            <w:r>
              <w:rPr>
                <w:rFonts w:ascii="Calibri" w:cs="Calibri" w:eastAsia="Calibri" w:hAnsi="Calibri"/>
                <w:b/>
                <w:bCs/>
                <w:i w:val="false"/>
                <w:iCs w:val="false"/>
                <w:color w:val="FFFFFF"/>
                <w:sz w:val="19"/>
                <w:szCs w:val="19"/>
              </w:rPr>
              <w:t xml:space="preserve">Action Taken in Deliverable 3</w:t>
            </w:r>
          </w:p>
        </w:tc>
      </w:tr>
      <w:tr>
        <w:trPr>
          <w:cantSplit/>
        </w:trPr>
        <w:tc>
          <w:tcPr>
            <w:tcW w:type="dxa" w:w="32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No coding had started yet by the D2 workshop, and the timeline for the expanded seven module scope looked tight; is there a plan for unexpected issues once implementation begins?</w:t>
            </w:r>
          </w:p>
        </w:tc>
        <w:tc>
          <w:tcPr>
            <w:tcW w:type="dxa" w:w="1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Kelsey</w:t>
            </w:r>
          </w:p>
        </w:tc>
        <w:tc>
          <w:tcPr>
            <w:tcW w:type="dxa" w:w="2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Acknowledged as a valid concern. The team's plan was to rely on permitted AI tools to manage the added workload, while accepting some blockers are inevitable.</w:t>
            </w:r>
          </w:p>
        </w:tc>
        <w:tc>
          <w:tcPr>
            <w:tcW w:type="dxa" w:w="68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Phase 1 implementation began in Deliverable 3 with an explicit internal schedule (draft versions by October 4, revised by October 11, a 3 day submission buffer ahead of the October 19 due date) set at the Deliverable 3 planning meeting. AI assistance is now formally tracked in the Coding and AI Usage Disclosure document, including concrete defects the AI produced and how they were found and fixed, which is the team's direct answer to this concern rather than an abstract plan.</w:t>
            </w:r>
          </w:p>
        </w:tc>
      </w:tr>
      <w:tr>
        <w:trPr>
          <w:cantSplit/>
        </w:trPr>
        <w:tc>
          <w:tcPr>
            <w:tcW w:type="dxa" w:w="32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Section 3.3's matching trigger (recalculating on every listing create or update) could introduce lag at high volume; would a periodic, time based update be more efficient?</w:t>
            </w:r>
          </w:p>
        </w:tc>
        <w:tc>
          <w:tcPr>
            <w:tcW w:type="dxa" w:w="1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Kelsey</w:t>
            </w:r>
          </w:p>
        </w:tc>
        <w:tc>
          <w:tcPr>
            <w:tcW w:type="dxa" w:w="2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Deferred to Deliverable 3 as an open item. The team agreed a scalability contingency was worth having in reserve if usage grows toward the thousands.</w:t>
            </w:r>
          </w:p>
        </w:tc>
        <w:tc>
          <w:tcPr>
            <w:tcW w:type="dxa" w:w="68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The matching engine (services/matchingService.js) was built in Deliverable 3 as an isolated, pure scoring module that is not yet wired into the live listing create or update request path; Phase 1 scope covers authentication, listings, and search only. Because the service has no request level coupling yet, the per update trigger design discussed at the workshop has not been committed to in code. The team will decide between an on update trigger and a periodic batch job once the matching engine is actually connected to listing events in a later phase, informed by real listing volume at that time.</w:t>
            </w:r>
          </w:p>
        </w:tc>
      </w:tr>
      <w:tr>
        <w:trPr>
          <w:cantSplit/>
        </w:trPr>
        <w:tc>
          <w:tcPr>
            <w:tcW w:type="dxa" w:w="32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Does the soft delete design for listings imply a listing can later be reopened or restored?</w:t>
            </w:r>
          </w:p>
        </w:tc>
        <w:tc>
          <w:tcPr>
            <w:tcW w:type="dxa" w:w="1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Kelsey</w:t>
            </w:r>
          </w:p>
        </w:tc>
        <w:tc>
          <w:tcPr>
            <w:tcW w:type="dxa" w:w="2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No change planned. Confirmed no reopen workflow exists; a returning item would be posted as a new listing.</w:t>
            </w:r>
          </w:p>
        </w:tc>
        <w:tc>
          <w:tcPr>
            <w:tcW w:type="dxa" w:w="68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Implemented exactly as reaffirmed: Listing.isDeleted is a one way flag (models/Listing.js); no restore or reopen endpoint exists in listingController.js or listingRoutes.js. FR LIST 03 and the Deliverable 3 Requirements document both describe soft delete the same way, with no reopen capability.</w:t>
            </w:r>
          </w:p>
        </w:tc>
      </w:tr>
      <w:tr>
        <w:trPr>
          <w:cantSplit/>
        </w:trPr>
        <w:tc>
          <w:tcPr>
            <w:tcW w:type="dxa" w:w="32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FR MATCH 2 awards a flat 35 points for a same category match; should this be weighted by item value or finer attributes instead?</w:t>
            </w:r>
          </w:p>
        </w:tc>
        <w:tc>
          <w:tcPr>
            <w:tcW w:type="dxa" w:w="1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Kelsey</w:t>
            </w:r>
          </w:p>
        </w:tc>
        <w:tc>
          <w:tcPr>
            <w:tcW w:type="dxa" w:w="2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Deferred. Acknowledged as a stronger design, but kept simple given time constraints; noted as a good fit for a future commercial version.</w:t>
            </w:r>
          </w:p>
        </w:tc>
        <w:tc>
          <w:tcPr>
            <w:tcW w:type="dxa" w:w="68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matchingService.js implements the flat, same category scoring exactly as scoped at the workshop (35 points for category, plus date proximity, location, and shared keyword points), with no weighting by item value added. This remains a deliberate, acknowledged simplification for the current scope rather than an oversight.</w:t>
            </w:r>
          </w:p>
        </w:tc>
      </w:tr>
      <w:tr>
        <w:trPr>
          <w:cantSplit/>
        </w:trPr>
        <w:tc>
          <w:tcPr>
            <w:tcW w:type="dxa" w:w="32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FR CLAIM 1 claim identifying details: should this use structured attribute and value fields instead of a single open text box?</w:t>
            </w:r>
          </w:p>
        </w:tc>
        <w:tc>
          <w:tcPr>
            <w:tcW w:type="dxa" w:w="1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Kelsey</w:t>
            </w:r>
          </w:p>
        </w:tc>
        <w:tc>
          <w:tcPr>
            <w:tcW w:type="dxa" w:w="2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Deferred. Agreed a structured format would be stronger, but the team intends to keep this simple for the current project.</w:t>
            </w:r>
          </w:p>
        </w:tc>
        <w:tc>
          <w:tcPr>
            <w:tcW w:type="dxa" w:w="68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Claim verification itself is Phase 2 scope and is not yet implemented. The Phase 1 groundwork for this field, Listing.privateDetails, is already modeled as a single open text field (trim, 500 character maximum, private visibility), consistent with the simple design the team confirmed at the workshop. The structured attribute and value design remains a documented future enhancement, not a Phase 1 commitment.</w:t>
            </w:r>
          </w:p>
        </w:tc>
      </w:tr>
      <w:tr>
        <w:trPr>
          <w:cantSplit/>
        </w:trPr>
        <w:tc>
          <w:tcPr>
            <w:tcW w:type="dxa" w:w="32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Why was 15 second polling chosen for in app messaging instead of web sockets?</w:t>
            </w:r>
          </w:p>
        </w:tc>
        <w:tc>
          <w:tcPr>
            <w:tcW w:type="dxa" w:w="1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Dawei, relayed by Kelsey</w:t>
            </w:r>
          </w:p>
        </w:tc>
        <w:tc>
          <w:tcPr>
            <w:tcW w:type="dxa" w:w="2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No change planned. Reaffirmed as intentional, driven by the team's free tier tooling constraint.</w:t>
            </w:r>
          </w:p>
        </w:tc>
        <w:tc>
          <w:tcPr>
            <w:tcW w:type="dxa" w:w="68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In app messaging is Phase 3 scope and is not yet implemented. No architectural decision made in Deliverable 3 contradicts the polling approach, and the free tier hosting constraint that motivated it (Deliverable 1, Section 3.1) is unchanged.</w:t>
            </w:r>
          </w:p>
        </w:tc>
      </w:tr>
      <w:tr>
        <w:trPr>
          <w:cantSplit/>
        </w:trPr>
        <w:tc>
          <w:tcPr>
            <w:tcW w:type="dxa" w:w="32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Are the system's administrators intended to be the same people who currently staff UNT's real lost and found office?</w:t>
            </w:r>
          </w:p>
        </w:tc>
        <w:tc>
          <w:tcPr>
            <w:tcW w:type="dxa" w:w="1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Kevin</w:t>
            </w:r>
          </w:p>
        </w:tc>
        <w:tc>
          <w:tcPr>
            <w:tcW w:type="dxa" w:w="2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Confirmed as the intended design.</w:t>
            </w:r>
          </w:p>
        </w:tc>
        <w:tc>
          <w:tcPr>
            <w:tcW w:type="dxa" w:w="68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Unchanged. Role based access control groundwork (the authorizeRoles middleware and the user, moderator, admin role enum on the User model) was built in Deliverable 3 to support this design once the admin role is fully implemented in a later phase.</w:t>
            </w:r>
          </w:p>
        </w:tc>
      </w:tr>
      <w:tr>
        <w:trPr>
          <w:cantSplit/>
        </w:trPr>
        <w:tc>
          <w:tcPr>
            <w:tcW w:type="dxa" w:w="32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Given the staffing and dependency implications of the admin role, has the team reached out to UNT's actual lost and found staff, even informally?</w:t>
            </w:r>
          </w:p>
        </w:tc>
        <w:tc>
          <w:tcPr>
            <w:tcW w:type="dxa" w:w="1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Kevin</w:t>
            </w:r>
          </w:p>
        </w:tc>
        <w:tc>
          <w:tcPr>
            <w:tcW w:type="dxa" w:w="23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Accepted. The team agreed to a short, informal 15 to 20 minute feedback conversation with UNT lost and found staff, short of seeking formal institutional approval, which was separately and explicitly rejected as out of scope.</w:t>
            </w:r>
          </w:p>
        </w:tc>
        <w:tc>
          <w:tcPr>
            <w:tcW w:type="dxa" w:w="6800"/>
            <w:tcMar>
              <w:top w:type="dxa" w:w="70"/>
              <w:left w:type="dxa" w:w="90"/>
              <w:bottom w:type="dxa" w:w="70"/>
              <w:right w:type="dxa" w:w="90"/>
            </w:tcMar>
          </w:tcPr>
          <w:p>
            <w:r>
              <w:rPr>
                <w:rFonts w:ascii="Calibri" w:cs="Calibri" w:eastAsia="Calibri" w:hAnsi="Calibri"/>
                <w:b w:val="false"/>
                <w:bCs w:val="false"/>
                <w:i w:val="false"/>
                <w:iCs w:val="false"/>
                <w:sz w:val="19"/>
                <w:szCs w:val="19"/>
              </w:rPr>
              <w:t xml:space="preserve">Planned, not yet conducted as of this draft. This is the one accepted action item from the workshop that is not evidenced by anything in the Deliverable 3 codebase or documentation, and the team should confirm, before final submission, whether this conversation has taken place and, if so, summarize what was learned here.</w:t>
            </w:r>
          </w:p>
        </w:tc>
      </w:tr>
    </w:tbl>
    <w:p>
      <w:pPr>
        <w:sectPr>
          <w:headerReference w:type="default" r:id="rId9"/>
          <w:footerReference w:type="default" r:id="rId10"/>
          <w:type w:val="nextPage"/>
          <w:pgSz w:w="15840" w:h="12240" w:orient="portrait"/>
          <w:pgMar w:top="900" w:right="900" w:bottom="900" w:left="900" w:header="708" w:footer="708" w:gutter="0"/>
          <w:pgNumType/>
          <w:docGrid w:linePitch="360"/>
        </w:sectPr>
      </w:pPr>
    </w:p>
    <w:p>
      <w:pPr>
        <w:pStyle w:val="Heading1"/>
        <w:spacing w:after="130" w:before="260"/>
      </w:pPr>
      <w:r>
        <w:rPr>
          <w:rFonts w:ascii="Calibri" w:cs="Calibri" w:eastAsia="Calibri" w:hAnsi="Calibri"/>
        </w:rPr>
        <w:t xml:space="preserve">3. Rejected Suggestion</w:t>
      </w:r>
    </w:p>
    <w:p>
      <w:pPr>
        <w:spacing w:after="140"/>
      </w:pPr>
      <w:r>
        <w:rPr>
          <w:rFonts w:ascii="Calibri" w:cs="Calibri" w:eastAsia="Calibri" w:hAnsi="Calibri"/>
          <w:sz w:val="22"/>
          <w:szCs w:val="22"/>
        </w:rPr>
        <w:t xml:space="preserve">Pursuing formal institutional approval or deep engagement with UNT offices (meetings with department heads, formal sign off) to make the system an officially adopted university tool was explicitly rejected at the workshop as beyond the scope and timeline of a semester project, citing institutional red tape and the team lead's remote location. No action was taken on this in Deliverable 3, consistent with that decision; the lighter, informal outreach conversation above was accepted in its place.</w:t>
      </w:r>
    </w:p>
    <w:p>
      <w:pPr>
        <w:pStyle w:val="Heading1"/>
        <w:spacing w:after="130" w:before="260"/>
      </w:pPr>
      <w:r>
        <w:rPr>
          <w:rFonts w:ascii="Calibri" w:cs="Calibri" w:eastAsia="Calibri" w:hAnsi="Calibri"/>
        </w:rPr>
        <w:t xml:space="preserve">4. Summary</w:t>
      </w:r>
    </w:p>
    <w:p>
      <w:pPr>
        <w:spacing w:after="140"/>
      </w:pPr>
      <w:r>
        <w:rPr>
          <w:rFonts w:ascii="Calibri" w:cs="Calibri" w:eastAsia="Calibri" w:hAnsi="Calibri"/>
          <w:sz w:val="22"/>
          <w:szCs w:val="22"/>
        </w:rPr>
        <w:t xml:space="preserve">Of the eight concerns Team Medley raised about the Deliverable 2 requirements, five reflect design decisions the team reaffirmed and implemented unchanged in Deliverable 3 (soft delete behavior, flat match scoring, open text claim details, messaging polling, and the admin role design), one is addressed by process rather than by a specific requirement change (the AI assisted workload plan, now evidenced by the Coding and AI Usage Disclosure document), one remains genuinely open pending a later phase (the matching engine's scalability approach, since the engine is not yet connected to live listing events), and one accepted action item, the informal conversation with UNT lost and found staff, is still outstanding and should be completed and summarized here before this deliverable is finalized.</w:t>
      </w:r>
    </w:p>
    <w:sectPr>
      <w:headerReference w:type="default" r:id="rId11"/>
      <w:footerReference w:type="default" r:id="rId12"/>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 Peer Review Feedback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2026-10-18T01:56:34.501Z</dcterms:created>
  <dcterms:modified xsi:type="dcterms:W3CDTF">2026-10-18T01:56:34.513Z</dcterms:modified>
</cp:coreProperties>
</file>

<file path=docProps/custom.xml><?xml version="1.0" encoding="utf-8"?>
<Properties xmlns="http://schemas.openxmlformats.org/officeDocument/2006/custom-properties" xmlns:vt="http://schemas.openxmlformats.org/officeDocument/2006/docPropsVTypes"/>
</file>