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CSCE 5430 (Fall 2026) — Deliverable 4, Project Phase 2</w:t>
      </w:r>
    </w:p>
    <w:bookmarkStart w:id="9" w:name="lost-and-found-for-campus-team-falcons"/>
    <w:p>
      <w:pPr>
        <w:pStyle w:val="Heading1"/>
      </w:pPr>
      <w:r>
        <w:t xml:space="preserve">Lost and Found for Campus — Team Falcons</w:t>
      </w:r>
    </w:p>
    <w:p>
      <w:pPr>
        <w:pStyle w:val="FirstParagraph"/>
      </w:pPr>
      <w:r>
        <w:t xml:space="preserve">Waleed Mirza (1194980) · Venkata Sai Anirudh Naidu Mamidi (11908399) · Sai Sathvika Potluri (11813771) · Sai Asritha Thati (11909319)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src/backend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src/frontend</w:t>
      </w:r>
      <w:r>
        <w:rPr>
          <w:i/>
          <w:iCs/>
        </w:rPr>
        <w:t xml:space="preserve"> </w:t>
      </w:r>
      <w:r>
        <w:rPr>
          <w:i/>
          <w:iCs/>
        </w:rPr>
        <w:t xml:space="preserve">· Report: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reports/deliverable-4/</w:t>
      </w:r>
    </w:p>
    <w:bookmarkEnd w:id="9"/>
    <w:bookmarkStart w:id="17" w:name="requirements"/>
    <w:p>
      <w:pPr>
        <w:pStyle w:val="Heading1"/>
      </w:pPr>
      <w:r>
        <w:t xml:space="preserve">1. Requirements</w:t>
      </w:r>
    </w:p>
    <w:p>
      <w:pPr>
        <w:pStyle w:val="FirstParagraph"/>
      </w:pPr>
      <w:r>
        <w:t xml:space="preserve">The Phase 2 scope is unchanged from Section 9.2 of the Deliverable 2 requirements document, so the requirements below are that set with the detail the implementation now makes possible. Phase 2 delivers the matching engine, the private claim and resolution workflow, and in-app notifications; messaging, moderation, the map, and analytics stay in Phase 3.</w:t>
      </w:r>
    </w:p>
    <w:p>
      <w:pPr>
        <w:pStyle w:val="BodyText"/>
      </w:pPr>
      <w:r>
        <w:rPr>
          <w:b/>
          <w:bCs/>
        </w:rPr>
        <w:t xml:space="preserve">Table 1. Phase 2 requirement set.</w:t>
      </w:r>
    </w:p>
    <w:tbl>
      <w:tblPr>
        <w:tblStyle w:val="Table"/>
        <w:tblW w:type="dxa" w:w="9936"/>
        <w:tblLayout w:type="fixed"/>
        <w:tblLook w:firstRow="1" w:lastRow="0" w:firstColumn="0" w:lastColumn="0" w:noHBand="0" w:noVBand="0" w:val="0020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30"/>
        <w:gridCol w:w="6406"/>
        <w:gridCol w:w="2100"/>
      </w:tblGrid>
      <w:tr>
        <w:trPr>
          <w:cantSplit/>
          <w:tblHeader w:val="on"/>
        </w:trPr>
        <w:tc>
          <w:tcPr>
            <w:tcW w:type="dxa" w:w="1430"/>
          </w:tcPr>
          <w:tcPr/>
          <w:p>
            <w:pPr>
              <w:pStyle w:val="Compact"/>
            </w:pPr>
            <w:r>
              <w:t xml:space="preserve">ID</w:t>
            </w:r>
          </w:p>
        </w:tc>
        <w:tc>
          <w:tcPr>
            <w:tcW w:type="dxa" w:w="6406"/>
          </w:tcPr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>
            <w:tcW w:type="dxa" w:w="2100"/>
          </w:tcPr>
          <w:tcPr/>
          <w:p>
            <w:pPr>
              <w:pStyle w:val="Compact"/>
            </w:pPr>
            <w:r>
              <w:t xml:space="preserve">Implemented in</w:t>
            </w:r>
          </w:p>
        </w:tc>
      </w:tr>
      <w:tr>
        <w:trPr>
          <w:cantSplit/>
        </w:trPr>
        &gt;
        <w:tc>
          <w:tcPr>
            <w:tcW w:type="dxa" w:w="1430"/>
          </w:tcPr>
          <w:tcPr/>
          <w:p>
            <w:pPr>
              <w:pStyle w:val="Compact"/>
            </w:pPr>
            <w:r>
              <w:t xml:space="preserve">FR-MATCH-01</w:t>
            </w:r>
          </w:p>
        </w:tc>
        <w:tc>
          <w:tcPr>
            <w:tcW w:type="dxa" w:w="6406"/>
          </w:tcPr>
          <w:tcPr/>
          <w:p>
            <w:pPr>
              <w:pStyle w:val="Compact"/>
            </w:pPr>
            <w:r>
              <w:t xml:space="preserve">Compare Active Lost with Active Found listings on category, date, location, and public keywords</w:t>
            </w:r>
          </w:p>
        </w:tc>
        <w:tc>
          <w:tcPr>
            <w:tcW w:type="dxa" w:w="210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matchingService.js</w:t>
            </w:r>
          </w:p>
        </w:tc>
      </w:tr>
      <w:tr>
        <w:trPr>
          <w:cantSplit/>
        </w:trPr>
        &gt;
        <w:tc>
          <w:tcPr>
            <w:tcW w:type="dxa" w:w="1430"/>
          </w:tcPr>
          <w:tcPr/>
          <w:p>
            <w:pPr>
              <w:pStyle w:val="Compact"/>
            </w:pPr>
            <w:r>
              <w:t xml:space="preserve">FR-MATCH-02</w:t>
            </w:r>
          </w:p>
        </w:tc>
        <w:tc>
          <w:tcPr>
            <w:tcW w:type="dxa" w:w="6406"/>
          </w:tcPr>
          <w:tcPr/>
          <w:p>
            <w:pPr>
              <w:pStyle w:val="Compact"/>
            </w:pPr>
            <w:r>
              <w:t xml:space="preserve">Score candidates 0–100 on the specified weights and keep the contributing factors</w:t>
            </w:r>
          </w:p>
        </w:tc>
        <w:tc>
          <w:tcPr>
            <w:tcW w:type="dxa" w:w="210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matchingService.js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Match.js</w:t>
            </w:r>
          </w:p>
        </w:tc>
      </w:tr>
      <w:tr>
        <w:trPr>
          <w:cantSplit/>
        </w:trPr>
        &gt;
        <w:tc>
          <w:tcPr>
            <w:tcW w:type="dxa" w:w="1430"/>
          </w:tcPr>
          <w:tcPr/>
          <w:p>
            <w:pPr>
              <w:pStyle w:val="Compact"/>
            </w:pPr>
            <w:r>
              <w:t xml:space="preserve">FR-CLM-01</w:t>
            </w:r>
          </w:p>
        </w:tc>
        <w:tc>
          <w:tcPr>
            <w:tcW w:type="dxa" w:w="6406"/>
          </w:tcPr>
          <w:tcPr/>
          <w:p>
            <w:pPr>
              <w:pStyle w:val="Compact"/>
            </w:pPr>
            <w:r>
              <w:t xml:space="preserve">A verified non-owner claims an Active Found listing with an explanation and two private details</w:t>
            </w:r>
          </w:p>
        </w:tc>
        <w:tc>
          <w:tcPr>
            <w:tcW w:type="dxa" w:w="210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claimController.js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Claim.js</w:t>
            </w:r>
          </w:p>
        </w:tc>
      </w:tr>
      <w:tr>
        <w:trPr>
          <w:cantSplit/>
        </w:trPr>
        &gt;
        <w:tc>
          <w:tcPr>
            <w:tcW w:type="dxa" w:w="1430"/>
          </w:tcPr>
          <w:tcPr/>
          <w:p>
            <w:pPr>
              <w:pStyle w:val="Compact"/>
            </w:pPr>
            <w:r>
              <w:t xml:space="preserve">FR-CLM-02</w:t>
            </w:r>
          </w:p>
        </w:tc>
        <w:tc>
          <w:tcPr>
            <w:tcW w:type="dxa" w:w="6406"/>
          </w:tcPr>
          <w:tcPr/>
          <w:p>
            <w:pPr>
              <w:pStyle w:val="Compact"/>
            </w:pPr>
            <w:r>
              <w:t xml:space="preserve">Retain many pending claims; the owner approves one or rejects a claim</w:t>
            </w:r>
          </w:p>
        </w:tc>
        <w:tc>
          <w:tcPr>
            <w:tcW w:type="dxa" w:w="210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claimController.js</w:t>
            </w:r>
          </w:p>
        </w:tc>
      </w:tr>
      <w:tr>
        <w:trPr>
          <w:cantSplit/>
        </w:trPr>
        &gt;
        <w:tc>
          <w:tcPr>
            <w:tcW w:type="dxa" w:w="1430"/>
          </w:tcPr>
          <w:tcPr/>
          <w:p>
            <w:pPr>
              <w:pStyle w:val="Compact"/>
            </w:pPr>
            <w:r>
              <w:t xml:space="preserve">FR-CLM-03</w:t>
            </w:r>
          </w:p>
        </w:tc>
        <w:tc>
          <w:tcPr>
            <w:tcW w:type="dxa" w:w="6406"/>
          </w:tcPr>
          <w:tcPr/>
          <w:p>
            <w:pPr>
              <w:pStyle w:val="Compact"/>
            </w:pPr>
            <w:r>
              <w:t xml:space="preserve">Approval moves the listing to Pending Return, closes competitors, and permits resolution</w:t>
            </w:r>
          </w:p>
        </w:tc>
        <w:tc>
          <w:tcPr>
            <w:tcW w:type="dxa" w:w="210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claimController.js</w:t>
            </w:r>
          </w:p>
        </w:tc>
      </w:tr>
      <w:tr>
        <w:trPr>
          <w:cantSplit/>
        </w:trPr>
        &gt;
        <w:tc>
          <w:tcPr>
            <w:tcW w:type="dxa" w:w="1430"/>
          </w:tcPr>
          <w:tcPr/>
          <w:p>
            <w:pPr>
              <w:pStyle w:val="Compact"/>
            </w:pPr>
            <w:r>
              <w:t xml:space="preserve">FR-COM-01</w:t>
            </w:r>
          </w:p>
        </w:tc>
        <w:tc>
          <w:tcPr>
            <w:tcW w:type="dxa" w:w="6406"/>
          </w:tcPr>
          <w:tcPr/>
          <w:p>
            <w:pPr>
              <w:pStyle w:val="Compact"/>
            </w:pPr>
            <w:r>
              <w:t xml:space="preserve">Notify on matches, claims, decisions, and resolution; optional email never reverses an action</w:t>
            </w:r>
          </w:p>
        </w:tc>
        <w:tc>
          <w:tcPr>
            <w:tcW w:type="dxa" w:w="210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Notification.js</w:t>
            </w:r>
          </w:p>
        </w:tc>
      </w:tr>
    </w:tbl>
    <w:bookmarkStart w:id="10" w:name="fr-match-01-generating-suggestions"/>
    <w:p>
      <w:pPr>
        <w:pStyle w:val="Heading2"/>
      </w:pPr>
      <w:r>
        <w:t xml:space="preserve">1.1 FR-MATCH-01 — Generating suggestions</w:t>
      </w:r>
    </w:p>
    <w:p>
      <w:pPr>
        <w:pStyle w:val="FirstParagraph"/>
      </w:pPr>
      <w:r>
        <w:t xml:space="preserve">Creating, editing, or restoring an Active listing compares it with every Active, non-deleted listing of the opposite type. Pairs scoring 65 or more are persisted as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documents, pairs that no longer qualify are deleted, and all matches are removed when a listing is deleted, resolved, or moved to Pending Return. Because matches are recomputed rather than appended, an edited listing cannot keep a stale suggestion. Only the owner may read them (</w:t>
      </w:r>
      <w:r>
        <w:rPr>
          <w:rStyle w:val="VerbatimChar"/>
        </w:rPr>
        <w:t xml:space="preserve">GET /api/v1/listings/:id/matches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/api/v1/matches</w:t>
      </w:r>
      <w:r>
        <w:t xml:space="preserve">); anyone else gets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bookmarkEnd w:id="10"/>
    <w:bookmarkStart w:id="11" w:name="fr-match-02-scoring-and-explainability"/>
    <w:p>
      <w:pPr>
        <w:pStyle w:val="Heading2"/>
      </w:pPr>
      <w:r>
        <w:t xml:space="preserve">1.2 FR-MATCH-02 — Scoring and explainability</w:t>
      </w:r>
    </w:p>
    <w:p>
      <w:pPr>
        <w:pStyle w:val="FirstParagraph"/>
      </w:pPr>
      <w:r>
        <w:t xml:space="preserve">Each match stores its score and the four factors behind it, so the owner sees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pairing was suggested instead of an opaque number.</w:t>
      </w:r>
    </w:p>
    <w:p>
      <w:pPr>
        <w:pStyle w:val="BodyText"/>
      </w:pPr>
      <w:r>
        <w:rPr>
          <w:b/>
          <w:bCs/>
        </w:rPr>
        <w:t xml:space="preserve">Table 2. Match scoring rule (maximum 100 points).</w:t>
      </w:r>
    </w:p>
    <w:tbl>
      <w:tblPr>
        <w:tblStyle w:val="Table"/>
        <w:tblLayout w:type="fixed"/>
        <w:tblW w:type="dxa" w:w="9936"/>
        <w:tblLook w:firstRow="1" w:lastRow="0" w:firstColumn="0" w:lastColumn="0" w:noHBand="0" w:noVBand="0" w:val="0020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480"/>
        <w:gridCol w:w="5856"/>
        <w:gridCol w:w="2600"/>
      </w:tblGrid>
      <w:tr>
        <w:trPr>
          <w:cantSplit/>
          <w:tblHeader w:val="on"/>
        </w:trPr>
        <w:tc>
          <w:tcPr>
            <w:tcW w:type="dxa" w:w="1480"/>
          </w:tcPr>
          <w:tcPr/>
          <w:p>
            <w:pPr>
              <w:pStyle w:val="Compact"/>
            </w:pPr>
            <w:r>
              <w:t xml:space="preserve">Factor</w:t>
            </w:r>
          </w:p>
        </w:tc>
        <w:tc>
          <w:tcPr>
            <w:tcW w:type="dxa" w:w="5856"/>
          </w:tcPr>
          <w:tcPr/>
          <w:p>
            <w:pPr>
              <w:pStyle w:val="Compact"/>
            </w:pPr>
            <w:r>
              <w:t xml:space="preserve">Rule</w:t>
            </w:r>
          </w:p>
        </w:tc>
        <w:tc>
          <w:tcPr>
            <w:tcW w:type="dxa" w:w="2600"/>
          </w:tcPr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rPr>
          <w:cantSplit/>
        </w:trPr>
        &gt;
        <w:tc>
          <w:tcPr>
            <w:tcW w:type="dxa" w:w="1480"/>
          </w:tcPr>
          <w:tcPr/>
          <w:p>
            <w:pPr>
              <w:pStyle w:val="Compact"/>
            </w:pPr>
            <w:r>
              <w:t xml:space="preserve">Category</w:t>
            </w:r>
          </w:p>
        </w:tc>
        <w:tc>
          <w:tcPr>
            <w:tcW w:type="dxa" w:w="5856"/>
          </w:tcPr>
          <w:tcPr/>
          <w:p>
            <w:pPr>
              <w:pStyle w:val="Compact"/>
            </w:pPr>
            <w:r>
              <w:t xml:space="preserve">Same category (case-insensitive)</w:t>
            </w:r>
          </w:p>
        </w:tc>
        <w:tc>
          <w:tcPr>
            <w:tcW w:type="dxa" w:w="2600"/>
          </w:tcPr>
          <w:tcPr/>
          <w:p>
            <w:pPr>
              <w:pStyle w:val="Compact"/>
            </w:pPr>
            <w:r>
              <w:t xml:space="preserve">35, else 0</w:t>
            </w:r>
          </w:p>
        </w:tc>
      </w:tr>
      <w:tr>
        <w:trPr>
          <w:cantSplit/>
        </w:trPr>
        &gt;
        <w:tc>
          <w:tcPr>
            <w:tcW w:type="dxa" w:w="1480"/>
          </w:tcPr>
          <w:tcPr/>
          <w:p>
            <w:pPr>
              <w:pStyle w:val="Compact"/>
            </w:pPr>
            <w:r>
              <w:t xml:space="preserve">Date</w:t>
            </w:r>
          </w:p>
        </w:tc>
        <w:tc>
          <w:tcPr>
            <w:tcW w:type="dxa" w:w="5856"/>
          </w:tcPr>
          <w:tcPr/>
          <w:p>
            <w:pPr>
              <w:pStyle w:val="Compact"/>
            </w:pPr>
            <w:r>
              <w:t xml:space="preserve">Found date within 1 day of the lost date</w:t>
            </w:r>
          </w:p>
        </w:tc>
        <w:tc>
          <w:tcPr>
            <w:tcW w:type="dxa" w:w="2600"/>
          </w:tcPr>
          <w:tcPr/>
          <w:p>
            <w:pPr>
              <w:pStyle w:val="Compact"/>
            </w:pPr>
            <w:r>
              <w:t xml:space="preserve">25</w:t>
            </w:r>
          </w:p>
        </w:tc>
      </w:tr>
      <w:tr>
        <w:trPr>
          <w:cantSplit/>
        </w:trPr>
        &gt;
        <w:tc>
          <w:tcPr>
            <w:tcW w:type="dxa" w:w="1480"/>
          </w:tcPr>
          <w:tcPr/>
          <w:p>
            <w:pPr>
              <w:pStyle w:val="Compact"/>
            </w:pPr>
          </w:p>
        </w:tc>
        <w:tc>
          <w:tcPr>
            <w:tcW w:type="dxa" w:w="5856"/>
          </w:tcPr>
          <w:tcPr/>
          <w:p>
            <w:pPr>
              <w:pStyle w:val="Compact"/>
            </w:pPr>
            <w:r>
              <w:t xml:space="preserve">Within 7 days</w:t>
            </w:r>
          </w:p>
        </w:tc>
        <w:tc>
          <w:tcPr>
            <w:tcW w:type="dxa" w:w="2600"/>
          </w:tcPr>
          <w:tcPr/>
          <w:p>
            <w:pPr>
              <w:pStyle w:val="Compact"/>
            </w:pPr>
            <w:r>
              <w:t xml:space="preserve">15</w:t>
            </w:r>
          </w:p>
        </w:tc>
      </w:tr>
      <w:tr>
        <w:trPr>
          <w:cantSplit/>
        </w:trPr>
        &gt;
        <w:tc>
          <w:tcPr>
            <w:tcW w:type="dxa" w:w="1480"/>
          </w:tcPr>
          <w:tcPr/>
          <w:p>
            <w:pPr>
              <w:pStyle w:val="Compact"/>
            </w:pPr>
          </w:p>
        </w:tc>
        <w:tc>
          <w:tcPr>
            <w:tcW w:type="dxa" w:w="5856"/>
          </w:tcPr>
          <w:tcPr/>
          <w:p>
            <w:pPr>
              <w:pStyle w:val="Compact"/>
            </w:pPr>
            <w:r>
              <w:t xml:space="preserve">More than 7 days apart</w:t>
            </w:r>
          </w:p>
        </w:tc>
        <w:tc>
          <w:tcPr>
            <w:tcW w:type="dxa" w:w="2600"/>
          </w:tcPr>
          <w:tcPr/>
          <w:p>
            <w:pPr>
              <w:pStyle w:val="Compact"/>
            </w:pPr>
            <w:r>
              <w:t xml:space="preserve">0</w:t>
            </w:r>
          </w:p>
        </w:tc>
      </w:tr>
      <w:tr>
        <w:trPr>
          <w:cantSplit/>
        </w:trPr>
        &gt;
        <w:tc>
          <w:tcPr>
            <w:tcW w:type="dxa" w:w="1480"/>
          </w:tcPr>
          <w:tcPr/>
          <w:p>
            <w:pPr>
              <w:pStyle w:val="Compact"/>
            </w:pPr>
            <w:r>
              <w:t xml:space="preserve">Location</w:t>
            </w:r>
          </w:p>
        </w:tc>
        <w:tc>
          <w:tcPr>
            <w:tcW w:type="dxa" w:w="5856"/>
          </w:tcPr>
          <w:tcPr/>
          <w:p>
            <w:pPr>
              <w:pStyle w:val="Compact"/>
            </w:pPr>
            <w:r>
              <w:t xml:space="preserve">Same building</w:t>
            </w:r>
          </w:p>
        </w:tc>
        <w:tc>
          <w:tcPr>
            <w:tcW w:type="dxa" w:w="2600"/>
          </w:tcPr>
          <w:tcPr/>
          <w:p>
            <w:pPr>
              <w:pStyle w:val="Compact"/>
            </w:pPr>
            <w:r>
              <w:t xml:space="preserve">20</w:t>
            </w:r>
          </w:p>
        </w:tc>
      </w:tr>
      <w:tr>
        <w:trPr>
          <w:cantSplit/>
        </w:trPr>
        &gt;
        <w:tc>
          <w:tcPr>
            <w:tcW w:type="dxa" w:w="1480"/>
          </w:tcPr>
          <w:tcPr/>
          <w:p>
            <w:pPr>
              <w:pStyle w:val="Compact"/>
            </w:pPr>
          </w:p>
        </w:tc>
        <w:tc>
          <w:tcPr>
            <w:tcW w:type="dxa" w:w="5856"/>
          </w:tcPr>
          <w:tcPr/>
          <w:p>
            <w:pPr>
              <w:pStyle w:val="Compact"/>
            </w:pPr>
            <w:r>
              <w:t xml:space="preserve">Same campus zone, different building</w:t>
            </w:r>
          </w:p>
        </w:tc>
        <w:tc>
          <w:tcPr>
            <w:tcW w:type="dxa" w:w="2600"/>
          </w:tcPr>
          <w:tcPr/>
          <w:p>
            <w:pPr>
              <w:pStyle w:val="Compact"/>
            </w:pPr>
            <w:r>
              <w:t xml:space="preserve">10</w:t>
            </w:r>
          </w:p>
        </w:tc>
      </w:tr>
      <w:tr>
        <w:trPr>
          <w:cantSplit/>
        </w:trPr>
        &gt;
        <w:tc>
          <w:tcPr>
            <w:tcW w:type="dxa" w:w="1480"/>
          </w:tcPr>
          <w:tcPr/>
          <w:p>
            <w:pPr>
              <w:pStyle w:val="Compact"/>
            </w:pPr>
            <w:r>
              <w:t xml:space="preserve">Keywords</w:t>
            </w:r>
          </w:p>
        </w:tc>
        <w:tc>
          <w:tcPr>
            <w:tcW w:type="dxa" w:w="5856"/>
          </w:tcPr>
          <w:tcPr/>
          <w:p>
            <w:pPr>
              <w:pStyle w:val="Compact"/>
            </w:pPr>
            <w:r>
              <w:t xml:space="preserve">3 or more shared public keywords</w:t>
            </w:r>
          </w:p>
        </w:tc>
        <w:tc>
          <w:tcPr>
            <w:tcW w:type="dxa" w:w="2600"/>
          </w:tcPr>
          <w:tcPr/>
          <w:p>
            <w:pPr>
              <w:pStyle w:val="Compact"/>
            </w:pPr>
            <w:r>
              <w:t xml:space="preserve">20</w:t>
            </w:r>
          </w:p>
        </w:tc>
      </w:tr>
      <w:tr>
        <w:trPr>
          <w:cantSplit/>
        </w:trPr>
        &gt;
        <w:tc>
          <w:tcPr>
            <w:tcW w:type="dxa" w:w="1480"/>
          </w:tcPr>
          <w:tcPr/>
          <w:p>
            <w:pPr>
              <w:pStyle w:val="Compact"/>
            </w:pPr>
          </w:p>
        </w:tc>
        <w:tc>
          <w:tcPr>
            <w:tcW w:type="dxa" w:w="5856"/>
          </w:tcPr>
          <w:tcPr/>
          <w:p>
            <w:pPr>
              <w:pStyle w:val="Compact"/>
            </w:pPr>
            <w:r>
              <w:t xml:space="preserve">1 or 2 shared keywords</w:t>
            </w:r>
          </w:p>
        </w:tc>
        <w:tc>
          <w:tcPr>
            <w:tcW w:type="dxa" w:w="2600"/>
          </w:tcPr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Only public text is compared: title, description, brand, and color. Private claim evidence is never read by the scorer, so a suggestion can be shown without leaking the answer to a claim. Text is lower-cased, stripped of punctuation and accents, stop-worded, and lightly stemmed so</w:t>
      </w:r>
      <w:r>
        <w:t xml:space="preserve"> </w:t>
      </w:r>
      <w:r>
        <w:rPr>
          <w:i/>
          <w:iCs/>
        </w:rPr>
        <w:t xml:space="preserve">wallet</w:t>
      </w:r>
      <w:r>
        <w:t xml:space="preserve">/</w:t>
      </w:r>
      <w:r>
        <w:rPr>
          <w:i/>
          <w:iCs/>
        </w:rPr>
        <w:t xml:space="preserve">wallets</w:t>
      </w:r>
      <w:r>
        <w:t xml:space="preserve"> </w:t>
      </w:r>
      <w:r>
        <w:t xml:space="preserve">compare equal; a pair matching on all four factors scores 100.</w:t>
      </w:r>
    </w:p>
    <w:bookmarkEnd w:id="11"/>
    <w:bookmarkStart w:id="12" w:name="fr-clm-01-submitting-a-claim"/>
    <w:p>
      <w:pPr>
        <w:pStyle w:val="Heading2"/>
      </w:pPr>
      <w:r>
        <w:t xml:space="preserve">1.3 FR-CLM-01 — Submitting a claim</w:t>
      </w:r>
    </w:p>
    <w:p>
      <w:pPr>
        <w:pStyle w:val="FirstParagraph"/>
      </w:pPr>
      <w:r>
        <w:t xml:space="preserve">A verified non-owner claims an Active Found listing through</w:t>
      </w:r>
      <w:r>
        <w:t xml:space="preserve"> </w:t>
      </w:r>
      <w:r>
        <w:rPr>
          <w:rStyle w:val="VerbatimChar"/>
        </w:rPr>
        <w:t xml:space="preserve">POST /api/v1/listings/:id/claims</w:t>
      </w:r>
      <w:r>
        <w:t xml:space="preserve"> </w:t>
      </w:r>
      <w:r>
        <w:t xml:space="preserve">with an ownership explanation and at least two private identifying details, such as a serial suffix or an engraved mark. The endpoint rejects an unverified account (</w:t>
      </w:r>
      <w:r>
        <w:rPr>
          <w:rStyle w:val="VerbatimChar"/>
        </w:rPr>
        <w:t xml:space="preserve">403</w:t>
      </w:r>
      <w:r>
        <w:t xml:space="preserve">), a missing listing (</w:t>
      </w:r>
      <w:r>
        <w:rPr>
          <w:rStyle w:val="VerbatimChar"/>
        </w:rPr>
        <w:t xml:space="preserve">404</w:t>
      </w:r>
      <w:r>
        <w:t xml:space="preserve">), a Lost listing (</w:t>
      </w:r>
      <w:r>
        <w:rPr>
          <w:rStyle w:val="VerbatimChar"/>
        </w:rPr>
        <w:t xml:space="preserve">400</w:t>
      </w:r>
      <w:r>
        <w:t xml:space="preserve">), a listing that is not Active (</w:t>
      </w:r>
      <w:r>
        <w:rPr>
          <w:rStyle w:val="VerbatimChar"/>
        </w:rPr>
        <w:t xml:space="preserve">409</w:t>
      </w:r>
      <w:r>
        <w:t xml:space="preserve">), the owner (</w:t>
      </w:r>
      <w:r>
        <w:rPr>
          <w:rStyle w:val="VerbatimChar"/>
        </w:rPr>
        <w:t xml:space="preserve">403</w:t>
      </w:r>
      <w:r>
        <w:t xml:space="preserve">), an empty explanation or fewer than two details (</w:t>
      </w:r>
      <w:r>
        <w:rPr>
          <w:rStyle w:val="VerbatimChar"/>
        </w:rPr>
        <w:t xml:space="preserve">400</w:t>
      </w:r>
      <w:r>
        <w:t xml:space="preserve">), and a duplicate open claim (</w:t>
      </w:r>
      <w:r>
        <w:rPr>
          <w:rStyle w:val="VerbatimChar"/>
        </w:rPr>
        <w:t xml:space="preserve">409</w:t>
      </w:r>
      <w:r>
        <w:t xml:space="preserve">). Claims are limited to 30 requests per 15 minutes per client, and the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response returns the claim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its private details.</w:t>
      </w:r>
    </w:p>
    <w:bookmarkEnd w:id="12"/>
    <w:bookmarkStart w:id="13" w:name="fr-clm-02-owner-decisions"/>
    <w:p>
      <w:pPr>
        <w:pStyle w:val="Heading2"/>
      </w:pPr>
      <w:r>
        <w:t xml:space="preserve">1.4 FR-CLM-02 — Owner decisions</w:t>
      </w:r>
    </w:p>
    <w:p>
      <w:pPr>
        <w:pStyle w:val="FirstParagraph"/>
      </w:pPr>
      <w:r>
        <w:t xml:space="preserve">A listing may hold any number of pending claims. The owner reads each claim’s evidence at</w:t>
      </w:r>
      <w:r>
        <w:t xml:space="preserve"> </w:t>
      </w:r>
      <w:r>
        <w:rPr>
          <w:rStyle w:val="VerbatimChar"/>
        </w:rPr>
        <w:t xml:space="preserve">GET /api/v1/listings/:id/claims</w:t>
      </w:r>
      <w:r>
        <w:t xml:space="preserve"> </w:t>
      </w:r>
      <w:r>
        <w:t xml:space="preserve">and approves one claim or rejects a claim with</w:t>
      </w:r>
      <w:r>
        <w:t xml:space="preserve"> </w:t>
      </w:r>
      <w:r>
        <w:rPr>
          <w:rStyle w:val="VerbatimChar"/>
        </w:rPr>
        <w:t xml:space="preserve">PATCH /api/v1/claims/:id/decision</w:t>
      </w:r>
      <w:r>
        <w:t xml:space="preserve"> </w:t>
      </w:r>
      <w:r>
        <w:t xml:space="preserve">and a body of</w:t>
      </w:r>
      <w:r>
        <w:t xml:space="preserve"> </w:t>
      </w:r>
      <w:r>
        <w:rPr>
          <w:rStyle w:val="VerbatimChar"/>
        </w:rPr>
        <w:t xml:space="preserve">{action, decisionNote}</w:t>
      </w:r>
      <w:r>
        <w:t xml:space="preserve">. Only the owner may call either endpoint (</w:t>
      </w:r>
      <w:r>
        <w:rPr>
          <w:rStyle w:val="VerbatimChar"/>
        </w:rPr>
        <w:t xml:space="preserve">403</w:t>
      </w:r>
      <w:r>
        <w:t xml:space="preserve">), and only a pending claim may be decided (</w:t>
      </w:r>
      <w:r>
        <w:rPr>
          <w:rStyle w:val="VerbatimChar"/>
        </w:rPr>
        <w:t xml:space="preserve">409</w:t>
      </w:r>
      <w:r>
        <w:t xml:space="preserve">). Approval is guarded by a conditional update that requires the listing to still be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so two simultaneous approvals cannot both succeed; the second receives</w:t>
      </w:r>
      <w:r>
        <w:t xml:space="preserve"> </w:t>
      </w:r>
      <w:r>
        <w:rPr>
          <w:rStyle w:val="VerbatimChar"/>
        </w:rPr>
        <w:t xml:space="preserve">409</w:t>
      </w:r>
      <w:r>
        <w:t xml:space="preserve">.</w:t>
      </w:r>
    </w:p>
    <w:bookmarkEnd w:id="13"/>
    <w:bookmarkStart w:id="14" w:name="fr-clm-03-pending-return-and-resolution"/>
    <w:p>
      <w:pPr>
        <w:pStyle w:val="Heading2"/>
      </w:pPr>
      <w:r>
        <w:t xml:space="preserve">1.5 FR-CLM-03 — Pending Return and resolution</w:t>
      </w:r>
    </w:p>
    <w:p>
      <w:pPr>
        <w:pStyle w:val="FirstParagraph"/>
      </w:pPr>
      <w:r>
        <w:t xml:space="preserve">Approval makes three changes: the chosen claim becomes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the listing becomes</w:t>
      </w:r>
      <w:r>
        <w:t xml:space="preserve"> </w:t>
      </w:r>
      <w:r>
        <w:rPr>
          <w:rStyle w:val="VerbatimChar"/>
        </w:rPr>
        <w:t xml:space="preserve">pending_return</w:t>
      </w:r>
      <w:r>
        <w:t xml:space="preserve">, and every competing pending claim becomes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with the note</w:t>
      </w:r>
      <w:r>
        <w:t xml:space="preserve"> </w:t>
      </w:r>
      <w:r>
        <w:t xml:space="preserve">“Another claim for this listing was approved”</w:t>
      </w:r>
      <w:r>
        <w:t xml:space="preserve">. Affected claimants are notified and the listing’s suggestions are removed. After the handoff the owner calls</w:t>
      </w:r>
      <w:r>
        <w:t xml:space="preserve"> </w:t>
      </w:r>
      <w:r>
        <w:rPr>
          <w:rStyle w:val="VerbatimChar"/>
        </w:rPr>
        <w:t xml:space="preserve">PATCH /api/v1/listings/:id/resolve</w:t>
      </w:r>
      <w:r>
        <w:t xml:space="preserve">; resolution requires the owner, a</w:t>
      </w:r>
      <w:r>
        <w:t xml:space="preserve"> </w:t>
      </w:r>
      <w:r>
        <w:rPr>
          <w:rStyle w:val="VerbatimChar"/>
        </w:rPr>
        <w:t xml:space="preserve">pending_return</w:t>
      </w:r>
      <w:r>
        <w:t xml:space="preserve"> </w:t>
      </w:r>
      <w:r>
        <w:t xml:space="preserve">listing, and an approved claim, then sets the listing to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, notifies the claimant, and deletes remaining matches.</w:t>
      </w:r>
    </w:p>
    <w:bookmarkEnd w:id="14"/>
    <w:bookmarkStart w:id="15" w:name="fr-com-01-notifications"/>
    <w:p>
      <w:pPr>
        <w:pStyle w:val="Heading2"/>
      </w:pPr>
      <w:r>
        <w:t xml:space="preserve">1.6 FR-COM-01 — Notifications</w:t>
      </w:r>
    </w:p>
    <w:p>
      <w:pPr>
        <w:pStyle w:val="FirstParagraph"/>
      </w:pPr>
      <w:r>
        <w:t xml:space="preserve">The system persists an in-app notification for a potential match, a new claim, a decision, a competing closure, and a resolution. They are listed at</w:t>
      </w:r>
      <w:r>
        <w:t xml:space="preserve"> </w:t>
      </w:r>
      <w:r>
        <w:rPr>
          <w:rStyle w:val="VerbatimChar"/>
        </w:rPr>
        <w:t xml:space="preserve">GET /api/v1/notifications</w:t>
      </w:r>
      <w:r>
        <w:t xml:space="preserve"> </w:t>
      </w:r>
      <w:r>
        <w:t xml:space="preserve">with an unread count and can be marked read individually or all at once. Each user has an</w:t>
      </w:r>
      <w:r>
        <w:t xml:space="preserve"> </w:t>
      </w:r>
      <w:r>
        <w:rPr>
          <w:rStyle w:val="VerbatimChar"/>
        </w:rPr>
        <w:t xml:space="preserve">emailNotifications</w:t>
      </w:r>
      <w:r>
        <w:t xml:space="preserve"> </w:t>
      </w:r>
      <w:r>
        <w:t xml:space="preserve">preference (default on); when it is on, the service retries once and records</w:t>
      </w:r>
      <w:r>
        <w:t xml:space="preserve"> </w:t>
      </w:r>
      <w:r>
        <w:rPr>
          <w:rStyle w:val="VerbatimChar"/>
        </w:rPr>
        <w:t xml:space="preserve">emailStatus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emailAttempts</w:t>
      </w:r>
      <w:r>
        <w:t xml:space="preserve">. Every call is wrapped so a delivery failure is logged and swallowed: a broken mail server can never roll back a claim, a decision, or a listing change.</w:t>
      </w:r>
    </w:p>
    <w:p>
      <w:r>
        <w:br w:type="page"/>
      </w:r>
    </w:p>
    <w:bookmarkEnd w:id="15"/>
    <w:bookmarkStart w:id="16" w:name="constraints-applied-in-phase-2"/>
    <w:p>
      <w:pPr>
        <w:pStyle w:val="Heading2"/>
      </w:pPr>
      <w:r>
        <w:t xml:space="preserve">1.7 Constraints applied in Phase 2</w:t>
      </w:r>
    </w:p>
    <w:p>
      <w:pPr>
        <w:pStyle w:val="FirstParagraph"/>
      </w:pPr>
      <w:r>
        <w:rPr>
          <w:b/>
          <w:bCs/>
        </w:rPr>
        <w:t xml:space="preserve">Table 3. Nonfunctional and interface requirements carried into Phase 2.</w:t>
      </w:r>
    </w:p>
    <w:tbl>
      <w:tblPr>
        <w:tblStyle w:val="Table"/>
        <w:tblW w:type="dxa" w:w="9936"/>
        <w:tblLayout w:type="fixed"/>
        <w:tblLook w:firstRow="1" w:lastRow="0" w:firstColumn="0" w:lastColumn="0" w:noHBand="0" w:noVBand="0" w:val="0020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280"/>
        <w:gridCol w:w="3756"/>
        <w:gridCol w:w="4900"/>
      </w:tblGrid>
      <w:tr>
        <w:trPr>
          <w:cantSplit/>
          <w:tblHeader w:val="on"/>
        </w:trPr>
        <w:tc>
          <w:tcPr>
            <w:tcW w:type="dxa" w:w="1280"/>
          </w:tcPr>
          <w:tcPr/>
          <w:p>
            <w:pPr>
              <w:pStyle w:val="Compact"/>
            </w:pPr>
            <w:r>
              <w:t xml:space="preserve">ID</w:t>
            </w:r>
          </w:p>
        </w:tc>
        <w:tc>
          <w:tcPr>
            <w:tcW w:type="dxa" w:w="3756"/>
          </w:tcPr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>
            <w:tcW w:type="dxa" w:w="4900"/>
          </w:tcPr>
          <w:tcPr/>
          <w:p>
            <w:pPr>
              <w:pStyle w:val="Compact"/>
            </w:pPr>
            <w:r>
              <w:t xml:space="preserve">Satisfied by</w:t>
            </w:r>
          </w:p>
        </w:tc>
      </w:tr>
      <w:tr>
        <w:trPr>
          <w:cantSplit/>
        </w:trPr>
        &gt;
        <w:tc>
          <w:tcPr>
            <w:tcW w:type="dxa" w:w="1280"/>
          </w:tcPr>
          <w:tcPr/>
          <w:p>
            <w:pPr>
              <w:pStyle w:val="Compact"/>
            </w:pPr>
            <w:r>
              <w:t xml:space="preserve">NFR-SEC-03</w:t>
            </w:r>
          </w:p>
        </w:tc>
        <w:tc>
          <w:tcPr>
            <w:tcW w:type="dxa" w:w="3756"/>
          </w:tcPr>
          <w:tcPr/>
          <w:p>
            <w:pPr>
              <w:pStyle w:val="Compact"/>
            </w:pPr>
            <w:r>
              <w:t xml:space="preserve">Validation and rate limits on claims</w:t>
            </w:r>
          </w:p>
        </w:tc>
        <w:tc>
          <w:tcPr>
            <w:tcW w:type="dxa" w:w="4900"/>
          </w:tcPr>
          <w:tcPr/>
          <w:p>
            <w:pPr>
              <w:pStyle w:val="Compact"/>
            </w:pPr>
            <w:r>
              <w:t xml:space="preserve">Field, ownership, and state checks; 30/15 min limiter</w:t>
            </w:r>
          </w:p>
        </w:tc>
      </w:tr>
      <w:tr>
        <w:trPr>
          <w:cantSplit/>
        </w:trPr>
        &gt;
        <w:tc>
          <w:tcPr>
            <w:tcW w:type="dxa" w:w="1280"/>
          </w:tcPr>
          <w:tcPr/>
          <w:p>
            <w:pPr>
              <w:pStyle w:val="Compact"/>
            </w:pPr>
            <w:r>
              <w:t xml:space="preserve">NFR-PRIV-01</w:t>
            </w:r>
          </w:p>
        </w:tc>
        <w:tc>
          <w:tcPr>
            <w:tcW w:type="dxa" w:w="3756"/>
          </w:tcPr>
          <w:tcPr/>
          <w:p>
            <w:pPr>
              <w:pStyle w:val="Compact"/>
            </w:pPr>
            <w:r>
              <w:t xml:space="preserve">No private evidence in public responses or logs</w:t>
            </w:r>
          </w:p>
        </w:tc>
        <w:tc>
          <w:tcPr>
            <w:tcW w:type="dxa" w:w="490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select: false</w:t>
            </w:r>
            <w:r>
              <w:t xml:space="preserve">; field stripped from the create response</w:t>
            </w:r>
          </w:p>
        </w:tc>
      </w:tr>
      <w:tr>
        <w:trPr>
          <w:cantSplit/>
        </w:trPr>
        &gt;
        <w:tc>
          <w:tcPr>
            <w:tcW w:type="dxa" w:w="1280"/>
          </w:tcPr>
          <w:tcPr/>
          <w:p>
            <w:pPr>
              <w:pStyle w:val="Compact"/>
            </w:pPr>
            <w:r>
              <w:t xml:space="preserve">NFR-TST-01</w:t>
            </w:r>
          </w:p>
        </w:tc>
        <w:tc>
          <w:tcPr>
            <w:tcW w:type="dxa" w:w="3756"/>
          </w:tcPr>
          <w:tcPr/>
          <w:p>
            <w:pPr>
              <w:pStyle w:val="Compact"/>
            </w:pPr>
            <w:r>
              <w:t xml:space="preserve">Tests cover authorization boundaries</w:t>
            </w:r>
          </w:p>
        </w:tc>
        <w:tc>
          <w:tcPr>
            <w:tcW w:type="dxa" w:w="4900"/>
          </w:tcPr>
          <w:tcPr/>
          <w:p>
            <w:pPr>
              <w:pStyle w:val="Compact"/>
            </w:pPr>
            <w:r>
              <w:t xml:space="preserve">32 tests in 7 suites, including owner and state guards</w:t>
            </w:r>
          </w:p>
        </w:tc>
      </w:tr>
      <w:tr>
        <w:trPr>
          <w:cantSplit/>
        </w:trPr>
        &gt;
        <w:tc>
          <w:tcPr>
            <w:tcW w:type="dxa" w:w="1280"/>
          </w:tcPr>
          <w:tcPr/>
          <w:p>
            <w:pPr>
              <w:pStyle w:val="Compact"/>
            </w:pPr>
            <w:r>
              <w:t xml:space="preserve">IF-UI-03</w:t>
            </w:r>
          </w:p>
        </w:tc>
        <w:tc>
          <w:tcPr>
            <w:tcW w:type="dxa" w:w="3756"/>
          </w:tcPr>
          <w:tcPr/>
          <w:p>
            <w:pPr>
              <w:pStyle w:val="Compact"/>
            </w:pPr>
            <w:r>
              <w:t xml:space="preserve">Claim review separates public data from evidence</w:t>
            </w:r>
          </w:p>
        </w:tc>
        <w:tc>
          <w:tcPr>
            <w:tcW w:type="dxa" w:w="4900"/>
          </w:tcPr>
          <w:tcPr/>
          <w:p>
            <w:pPr>
              <w:pStyle w:val="Compact"/>
            </w:pPr>
            <w:r>
              <w:t xml:space="preserve">Evidence only in the owner’s review panel</w:t>
            </w:r>
          </w:p>
        </w:tc>
      </w:tr>
      <w:tr>
        <w:trPr>
          <w:cantSplit/>
        </w:trPr>
        &gt;
        <w:tc>
          <w:tcPr>
            <w:tcW w:type="dxa" w:w="1280"/>
          </w:tcPr>
          <w:tcPr/>
          <w:p>
            <w:pPr>
              <w:pStyle w:val="Compact"/>
            </w:pPr>
            <w:r>
              <w:t xml:space="preserve">IF-SW-01, IF-COM-02</w:t>
            </w:r>
          </w:p>
        </w:tc>
        <w:tc>
          <w:tcPr>
            <w:tcW w:type="dxa" w:w="3756"/>
          </w:tcPr>
          <w:tcPr/>
          <w:p>
            <w:pPr>
              <w:pStyle w:val="Compact"/>
            </w:pPr>
            <w:r>
              <w:t xml:space="preserve">Versioned JSON endpoints behind a credential</w:t>
            </w:r>
          </w:p>
        </w:tc>
        <w:tc>
          <w:tcPr>
            <w:tcW w:type="dxa" w:w="4900"/>
          </w:tcPr>
          <w:tcPr/>
          <w:p>
            <w:pPr>
              <w:pStyle w:val="Compact"/>
            </w:pPr>
            <w:r>
              <w:t xml:space="preserve">All Phase 2 routes under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 </w:t>
            </w:r>
            <w:r>
              <w:t xml:space="preserve">behind JWT</w:t>
            </w:r>
            <w:r>
              <w:t xml:space="preserve"> </w:t>
            </w:r>
            <w:r>
              <w:rPr>
                <w:rStyle w:val="VerbatimChar"/>
              </w:rPr>
              <w:t xml:space="preserve">protect</w:t>
            </w:r>
          </w:p>
        </w:tc>
      </w:tr>
    </w:tbl>
    <w:bookmarkEnd w:id="16"/>
    <w:bookmarkEnd w:id="17"/>
    <w:bookmarkStart w:id="28" w:name="uml-design"/>
    <w:p>
      <w:pPr>
        <w:pStyle w:val="Heading1"/>
      </w:pPr>
      <w:r>
        <w:t xml:space="preserve">2. UML Design</w:t>
      </w:r>
    </w:p>
    <w:p>
      <w:pPr>
        <w:pStyle w:val="CaptionedFigure"/>
      </w:pPr>
      <w:r>
        <w:drawing>
          <wp:inline>
            <wp:extent cx="4937760" cy="3332181"/>
            <wp:effectExtent b="0" l="0" r="0" t="0"/>
            <wp:docPr descr="Figure 1. Phase 2 class diagram: domain entities, associations, and service modules." title="" id="19" name="Picture"/>
            <a:graphic>
              <a:graphicData uri="http://schemas.openxmlformats.org/drawingml/2006/picture">
                <pic:pic>
                  <pic:nvPicPr>
                    <pic:cNvPr descr="assets/d4-class-diagram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332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Phase 2 class diagram: domain entities, associations, and service modules.</w:t>
      </w:r>
    </w:p>
    <w:p>
      <w:pPr>
        <w:pStyle w:val="CaptionedFigure"/>
      </w:pPr>
      <w:r>
        <w:drawing>
          <wp:inline>
            <wp:extent cx="4937760" cy="3307976"/>
            <wp:effectExtent b="0" l="0" r="0" t="0"/>
            <wp:docPr descr="Figure 2. Claim lifecycle: the invalid-evidence branch, owner approval, competing-claim closure, and resolution." title="" id="22" name="Picture"/>
            <a:graphic>
              <a:graphicData uri="http://schemas.openxmlformats.org/drawingml/2006/picture">
                <pic:pic>
                  <pic:nvPicPr>
                    <pic:cNvPr descr="assets/d4-sequence-diagram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30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Claim lifecycle: the invalid-evidence branch, owner approval, competing-claim closure, and resolution.</w:t>
      </w:r>
    </w:p>
    <w:p>
      <w:pPr>
        <w:pStyle w:val="CaptionedFigure"/>
      </w:pPr>
      <w:r>
        <w:drawing>
          <wp:inline>
            <wp:extent cx="4937760" cy="3017520"/>
            <wp:effectExtent b="0" l="0" r="0" t="0"/>
            <wp:docPr descr="Figure 3. Phase 2 use cases, including the normal claim case and the missing-evidence error case." title="" id="25" name="Picture"/>
            <a:graphic>
              <a:graphicData uri="http://schemas.openxmlformats.org/drawingml/2006/picture">
                <pic:pic>
                  <pic:nvPicPr>
                    <pic:cNvPr descr="assets/d4-usecase-diagram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Phase 2 use cases, including the normal claim case and the missing-evidence error case.</w:t>
      </w:r>
    </w:p>
    <w:bookmarkStart w:id="27" w:name="notes-on-the-diagrams"/>
    <w:p>
      <w:pPr>
        <w:pStyle w:val="Heading2"/>
      </w:pPr>
      <w:r>
        <w:t xml:space="preserve">2.1 Notes on the diagrams</w:t>
      </w:r>
    </w:p>
    <w:p>
      <w:pPr>
        <w:pStyle w:val="FirstParagraph"/>
      </w:pPr>
      <w:r>
        <w:rPr>
          <w:b/>
          <w:bCs/>
        </w:rPr>
        <w:t xml:space="preserve">Class diagram.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is a persisted, scored association between one Lost and one Found listing and owns the factor breakdown of Table 2.</w:t>
      </w:r>
      <w:r>
        <w:t xml:space="preserve"> </w:t>
      </w:r>
      <w:r>
        <w:rPr>
          <w:rStyle w:val="VerbatimChar"/>
        </w:rPr>
        <w:t xml:space="preserve">Claim</w:t>
      </w:r>
      <w:r>
        <w:t xml:space="preserve"> </w:t>
      </w:r>
      <w:r>
        <w:t xml:space="preserve">belongs to one listing and one claimant and holds evidence that ordinary queries exclude.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optionally references a listing and a claim so a message can be traced to its cause. A user owns zero or more listings, a listing receives zero or more claims, and a listing may appear in many matches. The lower compartment groups the Phase 2 modules rather than modelling them as classes, because they are stateless Express modules; the dotted arrows show which entity each creates or manages.</w:t>
      </w:r>
    </w:p>
    <w:p>
      <w:pPr>
        <w:pStyle w:val="BodyText"/>
      </w:pPr>
      <w:r>
        <w:rPr>
          <w:b/>
          <w:bCs/>
        </w:rPr>
        <w:t xml:space="preserve">Sequence diagram.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fragment is the error case: with fewer than two details the API returns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and no state changes. Otherwise the API persists a pending claim, notifies the owner, and returns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without the evidence. The lower half re-checks ownership, claim state, and listing state before moving the listing to</w:t>
      </w:r>
      <w:r>
        <w:t xml:space="preserve"> </w:t>
      </w:r>
      <w:r>
        <w:rPr>
          <w:rStyle w:val="VerbatimChar"/>
        </w:rPr>
        <w:t xml:space="preserve">pending_return</w:t>
      </w:r>
      <w:r>
        <w:t xml:space="preserve">, approving the chosen claim, closing its competitors, notifying everyone affected, and dropping the matches. The last exchange marks the item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; dashed arrows are responses, labelled with the status the client receives.</w:t>
      </w:r>
    </w:p>
    <w:p>
      <w:pPr>
        <w:pStyle w:val="BodyText"/>
      </w:pPr>
      <w:r>
        <w:rPr>
          <w:b/>
          <w:bCs/>
        </w:rPr>
        <w:t xml:space="preserve">Use case diagram.</w:t>
      </w:r>
      <w:r>
        <w:t xml:space="preserve"> </w:t>
      </w:r>
      <w:r>
        <w:t xml:space="preserve">The verified user views suggestions for their own listings and submits a claim (</w:t>
      </w:r>
      <w:r>
        <w:rPr>
          <w:b/>
          <w:bCs/>
        </w:rPr>
        <w:t xml:space="preserve">normal case</w:t>
      </w:r>
      <w:r>
        <w:t xml:space="preserve">). The</w:t>
      </w:r>
      <w:r>
        <w:t xml:space="preserve"> </w:t>
      </w:r>
      <w:r>
        <w:rPr>
          <w:b/>
          <w:bCs/>
        </w:rPr>
        <w:t xml:space="preserve">error case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Submit claim with missing evidence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«extend»</w:t>
      </w:r>
      <w:r>
        <w:t xml:space="preserve">s the normal claim because it is the same interaction entered with invalid input. The owner reviews private evidence, approves or rejects a claim, and marks the item resolved, and both actors receive notifications. Because the decision controls sit inside each claim’s evidence panel, an owner cannot decide a claim they have not been shown.</w:t>
      </w:r>
    </w:p>
    <w:bookmarkEnd w:id="27"/>
    <w:bookmarkEnd w:id="28"/>
    <w:bookmarkStart w:id="31" w:name="coding-and-ai-usage-report"/>
    <w:p>
      <w:pPr>
        <w:pStyle w:val="Heading1"/>
      </w:pPr>
      <w:r>
        <w:t xml:space="preserve">3. Coding and AI Usage Report</w:t>
      </w:r>
    </w:p>
    <w:bookmarkStart w:id="29" w:name="Xea7388b3bb8293ac894a5ead21c7d8f5945d0d6"/>
    <w:p>
      <w:pPr>
        <w:pStyle w:val="Heading2"/>
      </w:pPr>
      <w:r>
        <w:t xml:space="preserve">3.1 What was generated by AI and what was done by the team</w:t>
      </w:r>
    </w:p>
    <w:p>
      <w:pPr>
        <w:pStyle w:val="FirstParagraph"/>
      </w:pPr>
      <w:r>
        <w:t xml:space="preserve">Phase 2 code was drafted with an AI assistant and then reviewed, corrected, and tested by team members. No Phase 2 file was accepted without being run.</w:t>
      </w:r>
    </w:p>
    <w:p>
      <w:pPr>
        <w:pStyle w:val="BodyText"/>
      </w:pPr>
      <w:r>
        <w:rPr>
          <w:b/>
          <w:bCs/>
        </w:rPr>
        <w:t xml:space="preserve">Table 4. Authorship by component.</w:t>
      </w:r>
    </w:p>
    <w:tbl>
      <w:tblPr>
        <w:tblStyle w:val="Table"/>
        <w:tblW w:type="dxa" w:w="9936"/>
        <w:tblLayout w:type="fixed"/>
        <w:tblLook w:firstRow="1" w:lastRow="0" w:firstColumn="0" w:lastColumn="0" w:noHBand="0" w:noVBand="0" w:val="0020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2120"/>
        <w:gridCol w:w="3556"/>
        <w:gridCol w:w="4260"/>
      </w:tblGrid>
      <w:tr>
        <w:trPr>
          <w:cantSplit/>
          <w:tblHeader w:val="on"/>
        </w:trPr>
        <w:tc>
          <w:tcPr>
            <w:tcW w:type="dxa" w:w="2120"/>
          </w:tcPr>
          <w:tcPr/>
          <w:p>
            <w:pPr>
              <w:pStyle w:val="Compact"/>
            </w:pPr>
            <w:r>
              <w:t xml:space="preserve">Component</w:t>
            </w:r>
          </w:p>
        </w:tc>
        <w:tc>
          <w:tcPr>
            <w:tcW w:type="dxa" w:w="3556"/>
          </w:tcPr>
          <w:tcPr/>
          <w:p>
            <w:pPr>
              <w:pStyle w:val="Compact"/>
            </w:pPr>
            <w:r>
              <w:t xml:space="preserve">AI-generated</w:t>
            </w:r>
          </w:p>
        </w:tc>
        <w:tc>
          <w:tcPr>
            <w:tcW w:type="dxa" w:w="4260"/>
          </w:tcPr>
          <w:tcPr/>
          <w:p>
            <w:pPr>
              <w:pStyle w:val="Compact"/>
            </w:pPr>
            <w:r>
              <w:t xml:space="preserve">Team work</w:t>
            </w:r>
          </w:p>
        </w:tc>
      </w:tr>
      <w:tr>
        <w:trPr>
          <w:cantSplit/>
        </w:trPr>
        &gt;
        <w:tc>
          <w:tcPr>
            <w:tcW w:type="dxa" w:w="212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</w:t>
            </w:r>
            <w:r>
              <w:t xml:space="preserve"> </w:t>
            </w:r>
            <w:r>
              <w:t xml:space="preserve">models</w:t>
            </w:r>
          </w:p>
        </w:tc>
        <w:tc>
          <w:tcPr>
            <w:tcW w:type="dxa" w:w="3556"/>
          </w:tcPr>
          <w:tcPr/>
          <w:p>
            <w:pPr>
              <w:pStyle w:val="Compact"/>
            </w:pPr>
            <w:r>
              <w:t xml:space="preserve">Schemas, indexes, validators</w:t>
            </w:r>
          </w:p>
        </w:tc>
        <w:tc>
          <w:tcPr>
            <w:tcW w:type="dxa" w:w="4260"/>
          </w:tcPr>
          <w:tcPr/>
          <w:p>
            <w:pPr>
              <w:pStyle w:val="Compact"/>
            </w:pPr>
            <w:r>
              <w:t xml:space="preserve">Field selection, two-detail validator, evidence kept</w:t>
            </w:r>
            <w:r>
              <w:t xml:space="preserve"> </w:t>
            </w:r>
            <w:r>
              <w:rPr>
                <w:rStyle w:val="VerbatimChar"/>
              </w:rPr>
              <w:t xml:space="preserve">select: false</w:t>
            </w:r>
          </w:p>
        </w:tc>
      </w:tr>
      <w:tr>
        <w:trPr>
          <w:cantSplit/>
        </w:trPr>
        &gt;
        <w:tc>
          <w:tcPr>
            <w:tcW w:type="dxa" w:w="212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matchingService.js</w:t>
            </w:r>
          </w:p>
        </w:tc>
        <w:tc>
          <w:tcPr>
            <w:tcW w:type="dxa" w:w="3556"/>
          </w:tcPr>
          <w:tcPr/>
          <w:p>
            <w:pPr>
              <w:pStyle w:val="Compact"/>
            </w:pPr>
            <w:r>
              <w:t xml:space="preserve">Scoring, keyword normalization, refresh routine</w:t>
            </w:r>
          </w:p>
        </w:tc>
        <w:tc>
          <w:tcPr>
            <w:tcW w:type="dxa" w:w="4260"/>
          </w:tcPr>
          <w:tcPr/>
          <w:p>
            <w:pPr>
              <w:pStyle w:val="Compact"/>
            </w:pPr>
            <w:r>
              <w:t xml:space="preserve">Factor audit against FR-MATCH-02, lifecycle wiring, stale-match cleanup</w:t>
            </w:r>
          </w:p>
        </w:tc>
      </w:tr>
      <w:tr>
        <w:trPr>
          <w:cantSplit/>
        </w:trPr>
        &gt;
        <w:tc>
          <w:tcPr>
            <w:tcW w:type="dxa" w:w="212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claimController.js</w:t>
            </w:r>
          </w:p>
        </w:tc>
        <w:tc>
          <w:tcPr>
            <w:tcW w:type="dxa" w:w="3556"/>
          </w:tcPr>
          <w:tcPr/>
          <w:p>
            <w:pPr>
              <w:pStyle w:val="Compact"/>
            </w:pPr>
            <w:r>
              <w:t xml:space="preserve">Handlers and validation branches</w:t>
            </w:r>
          </w:p>
        </w:tc>
        <w:tc>
          <w:tcPr>
            <w:tcW w:type="dxa" w:w="4260"/>
          </w:tcPr>
          <w:tcPr/>
          <w:p>
            <w:pPr>
              <w:pStyle w:val="Compact"/>
            </w:pPr>
            <w:r>
              <w:t xml:space="preserve">Atomic approval guard, competing closure, redaction, error isolation</w:t>
            </w:r>
          </w:p>
        </w:tc>
      </w:tr>
      <w:tr>
        <w:trPr>
          <w:cantSplit/>
        </w:trPr>
        &gt;
        <w:tc>
          <w:tcPr>
            <w:tcW w:type="dxa" w:w="212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emailService.js</w:t>
            </w:r>
          </w:p>
        </w:tc>
        <w:tc>
          <w:tcPr>
            <w:tcW w:type="dxa" w:w="3556"/>
          </w:tcPr>
          <w:tcPr/>
          <w:p>
            <w:pPr>
              <w:pStyle w:val="Compact"/>
            </w:pPr>
            <w:r>
              <w:t xml:space="preserve">Persistence, fan-out, retry loop</w:t>
            </w:r>
          </w:p>
        </w:tc>
        <w:tc>
          <w:tcPr>
            <w:tcW w:type="dxa" w:w="4260"/>
          </w:tcPr>
          <w:tcPr/>
          <w:p>
            <w:pPr>
              <w:pStyle w:val="Compact"/>
            </w:pPr>
            <w:r>
              <w:t xml:space="preserve">Preferences, delivery bookkeeping, swallowing failures</w:t>
            </w:r>
          </w:p>
        </w:tc>
      </w:tr>
      <w:tr>
        <w:trPr>
          <w:cantSplit/>
        </w:trPr>
        &gt;
        <w:tc>
          <w:tcPr>
            <w:tcW w:type="dxa" w:w="2120"/>
          </w:tcPr>
          <w:tcPr/>
          <w:p>
            <w:pPr>
              <w:pStyle w:val="Compact"/>
            </w:pPr>
            <w:r>
              <w:t xml:space="preserve">Controllers, routes, React views, tests</w:t>
            </w:r>
          </w:p>
        </w:tc>
        <w:tc>
          <w:tcPr>
            <w:tcW w:type="dxa" w:w="3556"/>
          </w:tcPr>
          <w:tcPr/>
          <w:p>
            <w:pPr>
              <w:pStyle w:val="Compact"/>
            </w:pPr>
            <w:r>
              <w:t xml:space="preserve">Scaffolding, layout, fixtures</w:t>
            </w:r>
          </w:p>
        </w:tc>
        <w:tc>
          <w:tcPr>
            <w:tcW w:type="dxa" w:w="4260"/>
          </w:tcPr>
          <w:tcPr/>
          <w:p>
            <w:pPr>
              <w:pStyle w:val="Compact"/>
            </w:pPr>
            <w:r>
              <w:t xml:space="preserve">Ownership checks,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 </w:t>
            </w:r>
            <w:r>
              <w:t xml:space="preserve">mounting, owner-only controls, privacy assertions</w:t>
            </w:r>
          </w:p>
        </w:tc>
      </w:tr>
    </w:tbl>
    <w:bookmarkEnd w:id="29"/>
    <w:bookmarkStart w:id="30" w:name="ai-usage-report"/>
    <w:p>
      <w:pPr>
        <w:pStyle w:val="Heading2"/>
      </w:pPr>
      <w:r>
        <w:t xml:space="preserve">3.2 AI usage report</w:t>
      </w:r>
    </w:p>
    <w:p>
      <w:pPr>
        <w:pStyle w:val="FirstParagraph"/>
      </w:pPr>
      <w:r>
        <w:rPr>
          <w:b/>
          <w:bCs/>
        </w:rPr>
        <w:t xml:space="preserve">Tools and tasks.</w:t>
      </w:r>
      <w:r>
        <w:t xml:space="preserve"> </w:t>
      </w:r>
      <w:r>
        <w:t xml:space="preserve">Claude (Anthropic, Sonnet family, via claude.ai and an editor agent) and ChatGPT drafted schema and controller scaffolding, the scoring functions, claim-panel React state, test fixtures, and this report’s structure. Every output was reviewed by a team member before it was kept.</w:t>
      </w:r>
    </w:p>
    <w:p>
      <w:pPr>
        <w:pStyle w:val="BodyText"/>
      </w:pPr>
      <w:r>
        <w:rPr>
          <w:b/>
          <w:bCs/>
        </w:rPr>
        <w:t xml:space="preserve">Representative prompts.</w:t>
      </w:r>
      <w:r>
        <w:t xml:space="preserve"> </w:t>
      </w:r>
      <w:r>
        <w:rPr>
          <w:i/>
          <w:iCs/>
        </w:rPr>
        <w:t xml:space="preserve">“Implement FR-MATCH-02 exactly as written, and store the factor breakdown with each match.”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“Add an owner-only endpoint returning pending claims with private evidence, and keep the evidence out of the create-claim response and every public payload.”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“Approval must not be racy: only one approval may succeed even if the owner double-clicks.”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“Wrap notification and email failures so a claim action is never rolled back.”</w:t>
      </w:r>
    </w:p>
    <w:p>
      <w:pPr>
        <w:pStyle w:val="BodyText"/>
      </w:pPr>
      <w:r>
        <w:rPr>
          <w:b/>
          <w:bCs/>
        </w:rPr>
        <w:t xml:space="preserve">Mistakes the AI produced, and the fixes.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Matching was implemented but never called.</w:t>
      </w:r>
      <w:r>
        <w:t xml:space="preserve"> </w:t>
      </w:r>
      <w:r>
        <w:t xml:space="preserve">It passed its unit test while no route imported it. Fixed by calling</w:t>
      </w:r>
      <w:r>
        <w:t xml:space="preserve"> </w:t>
      </w:r>
      <w:r>
        <w:rPr>
          <w:rStyle w:val="VerbatimChar"/>
        </w:rPr>
        <w:t xml:space="preserve">refreshMatchesForListing</w:t>
      </w:r>
      <w:r>
        <w:t xml:space="preserve"> </w:t>
      </w:r>
      <w:r>
        <w:t xml:space="preserve">after create and edit and</w:t>
      </w:r>
      <w:r>
        <w:t xml:space="preserve"> </w:t>
      </w:r>
      <w:r>
        <w:rPr>
          <w:rStyle w:val="VerbatimChar"/>
        </w:rPr>
        <w:t xml:space="preserve">removeMatchesForListing</w:t>
      </w:r>
      <w:r>
        <w:t xml:space="preserve"> </w:t>
      </w:r>
      <w:r>
        <w:t xml:space="preserve">after delete and resolution.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Notifications were fabricated in memory.</w:t>
      </w:r>
      <w:r>
        <w:t xml:space="preserve"> </w:t>
      </w:r>
      <w:r>
        <w:t xml:space="preserve">They vanished on restart. Fixed by persisting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documents and adding list and read endpoints.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Email failure reversed successful actions.</w:t>
      </w:r>
      <w:r>
        <w:t xml:space="preserve"> </w:t>
      </w:r>
      <w:r>
        <w:t xml:space="preserve">The paths awaited the mail transport, so an SMTP error returned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after the write. Fixed by isolating delivery, retrying once, and never propagating the error.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Approval was racy.</w:t>
      </w:r>
      <w:r>
        <w:t xml:space="preserve"> </w:t>
      </w:r>
      <w:r>
        <w:t xml:space="preserve">The handler read the listing and then updated it. Fixed with a conditional</w:t>
      </w:r>
      <w:r>
        <w:t xml:space="preserve"> </w:t>
      </w:r>
      <w:r>
        <w:rPr>
          <w:rStyle w:val="VerbatimChar"/>
        </w:rPr>
        <w:t xml:space="preserve">findOneAndUpdate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status: "active"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Private evidence leaked and tests shared a database.</w:t>
      </w:r>
      <w:r>
        <w:t xml:space="preserve"> </w:t>
      </w:r>
      <w:r>
        <w:t xml:space="preserve">The create response returned</w:t>
      </w:r>
      <w:r>
        <w:t xml:space="preserve"> </w:t>
      </w:r>
      <w:r>
        <w:rPr>
          <w:rStyle w:val="VerbatimChar"/>
        </w:rPr>
        <w:t xml:space="preserve">privateDetails</w:t>
      </w:r>
      <w:r>
        <w:t xml:space="preserve">, and suites deleted each other’s data. Fixed with</w:t>
      </w:r>
      <w:r>
        <w:t xml:space="preserve"> </w:t>
      </w:r>
      <w:r>
        <w:rPr>
          <w:rStyle w:val="VerbatimChar"/>
        </w:rPr>
        <w:t xml:space="preserve">select: false</w:t>
      </w:r>
      <w:r>
        <w:t xml:space="preserve">, a response field strip,</w:t>
      </w:r>
      <w:r>
        <w:t xml:space="preserve"> </w:t>
      </w:r>
      <w:r>
        <w:rPr>
          <w:rStyle w:val="VerbatimChar"/>
        </w:rPr>
        <w:t xml:space="preserve">MONGODB_URI_TEST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maxWorkers: 1</w:t>
      </w:r>
      <w:r>
        <w:t xml:space="preserve">.</w:t>
      </w:r>
    </w:p>
    <w:bookmarkEnd w:id="30"/>
    <w:bookmarkEnd w:id="31"/>
    <w:bookmarkStart w:id="32" w:name="test-cases"/>
    <w:p>
      <w:pPr>
        <w:pStyle w:val="Heading1"/>
      </w:pPr>
      <w:r>
        <w:t xml:space="preserve">4. Test Cases</w:t>
      </w:r>
    </w:p>
    <w:p>
      <w:pPr>
        <w:pStyle w:val="FirstParagraph"/>
      </w:pPr>
      <w:r>
        <w:t xml:space="preserve">Phase 2 is covered by 32 Jest/Supertest cases in 7 suites, run against a dedicated</w:t>
      </w:r>
      <w:r>
        <w:t xml:space="preserve"> </w:t>
      </w:r>
      <w:r>
        <w:rPr>
          <w:rStyle w:val="VerbatimChar"/>
        </w:rPr>
        <w:t xml:space="preserve">lost_and_found_test</w:t>
      </w:r>
      <w:r>
        <w:t xml:space="preserve"> </w:t>
      </w:r>
      <w:r>
        <w:t xml:space="preserve">database with one worker.</w:t>
      </w:r>
    </w:p>
    <w:p>
      <w:pPr>
        <w:pStyle w:val="BodyText"/>
      </w:pPr>
      <w:r>
        <w:rPr>
          <w:b/>
          <w:bCs/>
        </w:rPr>
        <w:t xml:space="preserve">Table 5. Phase 2 and regression test cases.</w:t>
      </w:r>
    </w:p>
    <w:tbl>
      <w:tblPr>
        <w:tblStyle w:val="Table"/>
        <w:tblW w:type="dxa" w:w="9936"/>
        <w:tblLayout w:type="fixed"/>
        <w:tblLook w:firstRow="1" w:lastRow="0" w:firstColumn="0" w:lastColumn="0" w:noHBand="0" w:noVBand="0" w:val="0020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400"/>
        <w:gridCol w:w="2766"/>
        <w:gridCol w:w="3360"/>
        <w:gridCol w:w="3410"/>
      </w:tblGrid>
      <w:tr>
        <w:trPr>
          <w:cantSplit/>
          <w:tblHeader w:val="on"/>
        </w:trPr>
        <w:tc>
          <w:tcPr>
            <w:tcW w:type="dxa" w:w="400"/>
          </w:tcPr>
          <w:tcPr/>
          <w:p>
            <w:pPr>
              <w:pStyle w:val="Compact"/>
            </w:pPr>
            <w:r>
              <w:t xml:space="preserve">#</w:t>
            </w:r>
          </w:p>
        </w:tc>
        <w:tc>
          <w:tcPr>
            <w:tcW w:type="dxa" w:w="2766"/>
          </w:tcPr>
          <w:tcPr/>
          <w:p>
            <w:pPr>
              <w:pStyle w:val="Compact"/>
            </w:pPr>
            <w:r>
              <w:t xml:space="preserve">Test case</w:t>
            </w:r>
          </w:p>
        </w:tc>
        <w:tc>
          <w:tcPr>
            <w:tcW w:type="dxa" w:w="3360"/>
          </w:tcPr>
          <w:tcPr/>
          <w:p>
            <w:pPr>
              <w:pStyle w:val="Compact"/>
            </w:pPr>
            <w:r>
              <w:t xml:space="preserve">Input</w:t>
            </w:r>
          </w:p>
        </w:tc>
        <w:tc>
          <w:tcPr>
            <w:tcW w:type="dxa" w:w="3410"/>
          </w:tcPr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rPr>
          <w:cantSplit/>
        </w:trPr>
        &gt;
        <w:tc>
          <w:tcPr>
            <w:tcW w:type="dxa" w:w="400"/>
          </w:tcPr>
          <w:tcPr/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2766"/>
          </w:tcPr>
          <w:tcPr/>
          <w:p>
            <w:pPr>
              <w:pStyle w:val="Compact"/>
            </w:pPr>
            <w:r>
              <w:t xml:space="preserve">Strong pair</w:t>
            </w:r>
          </w:p>
        </w:tc>
        <w:tc>
          <w:tcPr>
            <w:tcW w:type="dxa" w:w="3360"/>
          </w:tcPr>
          <w:tcPr/>
          <w:p>
            <w:pPr>
              <w:pStyle w:val="Compact"/>
            </w:pPr>
            <w:r>
              <w:t xml:space="preserve">Same category, 1 day, same building, 3 keywords</w:t>
            </w:r>
          </w:p>
        </w:tc>
        <w:tc>
          <w:tcPr>
            <w:tcW w:type="dxa" w:w="3410"/>
          </w:tcPr>
          <w:tcPr/>
          <w:p>
            <w:pPr>
              <w:pStyle w:val="Compact"/>
            </w:pPr>
            <w:r>
              <w:t xml:space="preserve">Score 100</w:t>
            </w:r>
          </w:p>
        </w:tc>
      </w:tr>
      <w:tr>
        <w:trPr>
          <w:cantSplit/>
        </w:trPr>
        &gt;
        <w:tc>
          <w:tcPr>
            <w:tcW w:type="dxa" w:w="400"/>
          </w:tcPr>
          <w:tcPr/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2766"/>
          </w:tcPr>
          <w:tcPr/>
          <w:p>
            <w:pPr>
              <w:pStyle w:val="Compact"/>
            </w:pPr>
            <w:r>
              <w:t xml:space="preserve">Claim happy path</w:t>
            </w:r>
          </w:p>
        </w:tc>
        <w:tc>
          <w:tcPr>
            <w:tcW w:type="dxa" w:w="3360"/>
          </w:tcPr>
          <w:tcPr/>
          <w:p>
            <w:pPr>
              <w:pStyle w:val="Compact"/>
            </w:pPr>
            <w:r>
              <w:t xml:space="preserve">Verified non-owner, explanation, 2 details</w:t>
            </w:r>
          </w:p>
        </w:tc>
        <w:tc>
          <w:tcPr>
            <w:tcW w:type="dxa" w:w="341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201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privateDetails</w:t>
            </w:r>
          </w:p>
        </w:tc>
      </w:tr>
      <w:tr>
        <w:trPr>
          <w:cantSplit/>
        </w:trPr>
        &gt;
        <w:tc>
          <w:tcPr>
            <w:tcW w:type="dxa" w:w="400"/>
          </w:tcPr>
          <w:tcPr/>
          <w:p>
            <w:pPr>
              <w:pStyle w:val="Compact"/>
            </w:pPr>
            <w:r>
              <w:t xml:space="preserve">3</w:t>
            </w:r>
          </w:p>
        </w:tc>
        <w:tc>
          <w:tcPr>
            <w:tcW w:type="dxa" w:w="2766"/>
          </w:tcPr>
          <w:tcPr/>
          <w:p>
            <w:pPr>
              <w:pStyle w:val="Compact"/>
            </w:pPr>
            <w:r>
              <w:t xml:space="preserve">Owner cannot claim</w:t>
            </w:r>
          </w:p>
        </w:tc>
        <w:tc>
          <w:tcPr>
            <w:tcW w:type="dxa" w:w="3360"/>
          </w:tcPr>
          <w:tcPr/>
          <w:p>
            <w:pPr>
              <w:pStyle w:val="Compact"/>
            </w:pPr>
            <w:r>
              <w:t xml:space="preserve">Owner claims own listing</w:t>
            </w:r>
          </w:p>
        </w:tc>
        <w:tc>
          <w:tcPr>
            <w:tcW w:type="dxa" w:w="341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</w:p>
        </w:tc>
      </w:tr>
      <w:tr>
        <w:trPr>
          <w:cantSplit/>
        </w:trPr>
        &gt;
        <w:tc>
          <w:tcPr>
            <w:tcW w:type="dxa" w:w="400"/>
          </w:tcPr>
          <w:tcPr/>
          <w:p>
            <w:pPr>
              <w:pStyle w:val="Compact"/>
            </w:pPr>
            <w:r>
              <w:t xml:space="preserve">4</w:t>
            </w:r>
          </w:p>
        </w:tc>
        <w:tc>
          <w:tcPr>
            <w:tcW w:type="dxa" w:w="2766"/>
          </w:tcPr>
          <w:tcPr/>
          <w:p>
            <w:pPr>
              <w:pStyle w:val="Compact"/>
            </w:pPr>
            <w:r>
              <w:t xml:space="preserve">Insufficient evidence</w:t>
            </w:r>
          </w:p>
        </w:tc>
        <w:tc>
          <w:tcPr>
            <w:tcW w:type="dxa" w:w="3360"/>
          </w:tcPr>
          <w:tcPr/>
          <w:p>
            <w:pPr>
              <w:pStyle w:val="Compact"/>
            </w:pPr>
            <w:r>
              <w:t xml:space="preserve">One private detail</w:t>
            </w:r>
          </w:p>
        </w:tc>
        <w:tc>
          <w:tcPr>
            <w:tcW w:type="dxa" w:w="341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</w:p>
        </w:tc>
      </w:tr>
      <w:tr>
        <w:trPr>
          <w:cantSplit/>
        </w:trPr>
        &gt;
        <w:tc>
          <w:tcPr>
            <w:tcW w:type="dxa" w:w="400"/>
          </w:tcPr>
          <w:tcPr/>
          <w:p>
            <w:pPr>
              <w:pStyle w:val="Compact"/>
            </w:pPr>
            <w:r>
              <w:t xml:space="preserve">5</w:t>
            </w:r>
          </w:p>
        </w:tc>
        <w:tc>
          <w:tcPr>
            <w:tcW w:type="dxa" w:w="2766"/>
          </w:tcPr>
          <w:tcPr/>
          <w:p>
            <w:pPr>
              <w:pStyle w:val="Compact"/>
            </w:pPr>
            <w:r>
              <w:t xml:space="preserve">Duplicate claim</w:t>
            </w:r>
          </w:p>
        </w:tc>
        <w:tc>
          <w:tcPr>
            <w:tcW w:type="dxa" w:w="3360"/>
          </w:tcPr>
          <w:tcPr/>
          <w:p>
            <w:pPr>
              <w:pStyle w:val="Compact"/>
            </w:pPr>
            <w:r>
              <w:t xml:space="preserve">Second pending claim by the same user</w:t>
            </w:r>
          </w:p>
        </w:tc>
        <w:tc>
          <w:tcPr>
            <w:tcW w:type="dxa" w:w="341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409</w:t>
            </w:r>
          </w:p>
        </w:tc>
      </w:tr>
      <w:tr>
        <w:trPr>
          <w:cantSplit/>
        </w:trPr>
        &gt;
        <w:tc>
          <w:tcPr>
            <w:tcW w:type="dxa" w:w="400"/>
          </w:tcPr>
          <w:tcPr/>
          <w:p>
            <w:pPr>
              <w:pStyle w:val="Compact"/>
            </w:pPr>
            <w:r>
              <w:t xml:space="preserve">6</w:t>
            </w:r>
          </w:p>
        </w:tc>
        <w:tc>
          <w:tcPr>
            <w:tcW w:type="dxa" w:w="2766"/>
          </w:tcPr>
          <w:tcPr/>
          <w:p>
            <w:pPr>
              <w:pStyle w:val="Compact"/>
            </w:pPr>
            <w:r>
              <w:t xml:space="preserve">Non-Active listing</w:t>
            </w:r>
          </w:p>
        </w:tc>
        <w:tc>
          <w:tcPr>
            <w:tcW w:type="dxa" w:w="3360"/>
          </w:tcPr>
          <w:tcPr/>
          <w:p>
            <w:pPr>
              <w:pStyle w:val="Compact"/>
            </w:pPr>
            <w:r>
              <w:t xml:space="preserve">Listing in</w:t>
            </w:r>
            <w:r>
              <w:t xml:space="preserve"> </w:t>
            </w:r>
            <w:r>
              <w:rPr>
                <w:rStyle w:val="VerbatimChar"/>
              </w:rPr>
              <w:t xml:space="preserve">pending_return</w:t>
            </w:r>
          </w:p>
        </w:tc>
        <w:tc>
          <w:tcPr>
            <w:tcW w:type="dxa" w:w="341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409</w:t>
            </w:r>
          </w:p>
        </w:tc>
      </w:tr>
      <w:tr>
        <w:trPr>
          <w:cantSplit/>
        </w:trPr>
        &gt;
        <w:tc>
          <w:tcPr>
            <w:tcW w:type="dxa" w:w="400"/>
          </w:tcPr>
          <w:tcPr/>
          <w:p>
            <w:pPr>
              <w:pStyle w:val="Compact"/>
            </w:pPr>
            <w:r>
              <w:t xml:space="preserve">7</w:t>
            </w:r>
          </w:p>
        </w:tc>
        <w:tc>
          <w:tcPr>
            <w:tcW w:type="dxa" w:w="2766"/>
          </w:tcPr>
          <w:tcPr/>
          <w:p>
            <w:pPr>
              <w:pStyle w:val="Compact"/>
            </w:pPr>
            <w:r>
              <w:t xml:space="preserve">Evidence owner-only</w:t>
            </w:r>
          </w:p>
        </w:tc>
        <w:tc>
          <w:tcPr>
            <w:tcW w:type="dxa" w:w="3360"/>
          </w:tcPr>
          <w:tcPr/>
          <w:p>
            <w:pPr>
              <w:pStyle w:val="Compact"/>
            </w:pPr>
            <w:r>
              <w:t xml:space="preserve">Owner fetches listing claims</w:t>
            </w:r>
          </w:p>
        </w:tc>
        <w:tc>
          <w:tcPr>
            <w:tcW w:type="dxa" w:w="341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, both details present</w:t>
            </w:r>
          </w:p>
        </w:tc>
      </w:tr>
      <w:tr>
        <w:trPr>
          <w:cantSplit/>
        </w:trPr>
        &gt;
        <w:tc>
          <w:tcPr>
            <w:tcW w:type="dxa" w:w="400"/>
          </w:tcPr>
          <w:tcPr/>
          <w:p>
            <w:pPr>
              <w:pStyle w:val="Compact"/>
            </w:pPr>
            <w:r>
              <w:t xml:space="preserve">8</w:t>
            </w:r>
          </w:p>
        </w:tc>
        <w:tc>
          <w:tcPr>
            <w:tcW w:type="dxa" w:w="2766"/>
          </w:tcPr>
          <w:tcPr/>
          <w:p>
            <w:pPr>
              <w:pStyle w:val="Compact"/>
            </w:pPr>
            <w:r>
              <w:t xml:space="preserve">Approval closes competitors</w:t>
            </w:r>
          </w:p>
        </w:tc>
        <w:tc>
          <w:tcPr>
            <w:tcW w:type="dxa" w:w="3360"/>
          </w:tcPr>
          <w:tcPr/>
          <w:p>
            <w:pPr>
              <w:pStyle w:val="Compact"/>
            </w:pPr>
            <w:r>
              <w:t xml:space="preserve">Two pending claims, approve one</w:t>
            </w:r>
          </w:p>
        </w:tc>
        <w:tc>
          <w:tcPr>
            <w:tcW w:type="dxa" w:w="3410"/>
          </w:tcPr>
          <w:tcPr/>
          <w:p>
            <w:pPr>
              <w:pStyle w:val="Compact"/>
            </w:pPr>
            <w:r>
              <w:t xml:space="preserve">Approved, other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, listing</w:t>
            </w:r>
            <w:r>
              <w:t xml:space="preserve"> </w:t>
            </w:r>
            <w:r>
              <w:rPr>
                <w:rStyle w:val="VerbatimChar"/>
              </w:rPr>
              <w:t xml:space="preserve">pending_return</w:t>
            </w:r>
          </w:p>
        </w:tc>
      </w:tr>
      <w:tr>
        <w:trPr>
          <w:cantSplit/>
        </w:trPr>
        &gt;
        <w:tc>
          <w:tcPr>
            <w:tcW w:type="dxa" w:w="400"/>
          </w:tcPr>
          <w:tcPr/>
          <w:p>
            <w:pPr>
              <w:pStyle w:val="Compact"/>
            </w:pPr>
            <w:r>
              <w:t xml:space="preserve">9</w:t>
            </w:r>
          </w:p>
        </w:tc>
        <w:tc>
          <w:tcPr>
            <w:tcW w:type="dxa" w:w="2766"/>
          </w:tcPr>
          <w:tcPr/>
          <w:p>
            <w:pPr>
              <w:pStyle w:val="Compact"/>
            </w:pPr>
            <w:r>
              <w:t xml:space="preserve">Second decision blocked</w:t>
            </w:r>
          </w:p>
        </w:tc>
        <w:tc>
          <w:tcPr>
            <w:tcW w:type="dxa" w:w="3360"/>
          </w:tcPr>
          <w:tcPr/>
          <w:p>
            <w:pPr>
              <w:pStyle w:val="Compact"/>
            </w:pPr>
            <w:r>
              <w:t xml:space="preserve">Decide an already-decided claim</w:t>
            </w:r>
          </w:p>
        </w:tc>
        <w:tc>
          <w:tcPr>
            <w:tcW w:type="dxa" w:w="341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409</w:t>
            </w:r>
          </w:p>
        </w:tc>
      </w:tr>
      <w:tr>
        <w:trPr>
          <w:cantSplit/>
        </w:trPr>
        &gt;
        <w:tc>
          <w:tcPr>
            <w:tcW w:type="dxa" w:w="400"/>
          </w:tcPr>
          <w:tcPr/>
          <w:p>
            <w:pPr>
              <w:pStyle w:val="Compact"/>
            </w:pPr>
            <w:r>
              <w:t xml:space="preserve">10</w:t>
            </w:r>
          </w:p>
        </w:tc>
        <w:tc>
          <w:tcPr>
            <w:tcW w:type="dxa" w:w="2766"/>
          </w:tcPr>
          <w:tcPr/>
          <w:p>
            <w:pPr>
              <w:pStyle w:val="Compact"/>
            </w:pPr>
            <w:r>
              <w:t xml:space="preserve">Resolution requires approval</w:t>
            </w:r>
          </w:p>
        </w:tc>
        <w:tc>
          <w:tcPr>
            <w:tcW w:type="dxa" w:w="3360"/>
          </w:tcPr>
          <w:tcPr/>
          <w:p>
            <w:pPr>
              <w:pStyle w:val="Compact"/>
            </w:pPr>
            <w:r>
              <w:t xml:space="preserve">Resolve with no approved claim</w:t>
            </w:r>
          </w:p>
        </w:tc>
        <w:tc>
          <w:tcPr>
            <w:tcW w:type="dxa" w:w="341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409</w:t>
            </w:r>
          </w:p>
        </w:tc>
      </w:tr>
      <w:tr>
        <w:trPr>
          <w:cantSplit/>
        </w:trPr>
        &gt;
        <w:tc>
          <w:tcPr>
            <w:tcW w:type="dxa" w:w="400"/>
          </w:tcPr>
          <w:tcPr/>
          <w:p>
            <w:pPr>
              <w:pStyle w:val="Compact"/>
            </w:pPr>
            <w:r>
              <w:t xml:space="preserve">11</w:t>
            </w:r>
          </w:p>
        </w:tc>
        <w:tc>
          <w:tcPr>
            <w:tcW w:type="dxa" w:w="2766"/>
          </w:tcPr>
          <w:tcPr/>
          <w:p>
            <w:pPr>
              <w:pStyle w:val="Compact"/>
            </w:pPr>
            <w:r>
              <w:t xml:space="preserve">Resolution happy path</w:t>
            </w:r>
          </w:p>
        </w:tc>
        <w:tc>
          <w:tcPr>
            <w:tcW w:type="dxa" w:w="3360"/>
          </w:tcPr>
          <w:tcPr/>
          <w:p>
            <w:pPr>
              <w:pStyle w:val="Compact"/>
            </w:pPr>
            <w:r>
              <w:t xml:space="preserve">Owner resolves after approval</w:t>
            </w:r>
          </w:p>
        </w:tc>
        <w:tc>
          <w:tcPr>
            <w:tcW w:type="dxa" w:w="341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  <w:r>
              <w:t xml:space="preserve">, claimant notified</w:t>
            </w:r>
          </w:p>
        </w:tc>
      </w:tr>
      <w:tr>
        <w:trPr>
          <w:cantSplit/>
        </w:trPr>
        &gt;
        <w:tc>
          <w:tcPr>
            <w:tcW w:type="dxa" w:w="400"/>
          </w:tcPr>
          <w:tcPr/>
          <w:p>
            <w:pPr>
              <w:pStyle w:val="Compact"/>
            </w:pPr>
            <w:r>
              <w:t xml:space="preserve">12</w:t>
            </w:r>
          </w:p>
        </w:tc>
        <w:tc>
          <w:tcPr>
            <w:tcW w:type="dxa" w:w="2766"/>
          </w:tcPr>
          <w:tcPr/>
          <w:p>
            <w:pPr>
              <w:pStyle w:val="Compact"/>
            </w:pPr>
            <w:r>
              <w:t xml:space="preserve">Notification persisted</w:t>
            </w:r>
          </w:p>
        </w:tc>
        <w:tc>
          <w:tcPr>
            <w:tcW w:type="dxa" w:w="3360"/>
          </w:tcPr>
          <w:tcPr/>
          <w:p>
            <w:pPr>
              <w:pStyle w:val="Compact"/>
            </w:pPr>
            <w:r>
              <w:t xml:space="preserve">Email disabled</w:t>
            </w:r>
          </w:p>
        </w:tc>
        <w:tc>
          <w:tcPr>
            <w:tcW w:type="dxa" w:w="3410"/>
          </w:tcPr>
          <w:tcPr/>
          <w:p>
            <w:pPr>
              <w:pStyle w:val="Compact"/>
            </w:pPr>
            <w:r>
              <w:t xml:space="preserve">Stored,</w:t>
            </w:r>
            <w:r>
              <w:t xml:space="preserve"> </w:t>
            </w:r>
            <w:r>
              <w:rPr>
                <w:rStyle w:val="VerbatimChar"/>
              </w:rPr>
              <w:t xml:space="preserve">isRead: 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emailStatus: not_requested</w:t>
            </w:r>
          </w:p>
        </w:tc>
      </w:tr>
      <w:tr>
        <w:trPr>
          <w:cantSplit/>
        </w:trPr>
        &gt;
        <w:tc>
          <w:tcPr>
            <w:tcW w:type="dxa" w:w="400"/>
          </w:tcPr>
          <w:tcPr/>
          <w:p>
            <w:pPr>
              <w:pStyle w:val="Compact"/>
            </w:pPr>
            <w:r>
              <w:t xml:space="preserve">13</w:t>
            </w:r>
          </w:p>
        </w:tc>
        <w:tc>
          <w:tcPr>
            <w:tcW w:type="dxa" w:w="2766"/>
          </w:tcPr>
          <w:tcPr/>
          <w:p>
            <w:pPr>
              <w:pStyle w:val="Compact"/>
            </w:pPr>
            <w:r>
              <w:t xml:space="preserve">SMTP not configured</w:t>
            </w:r>
          </w:p>
        </w:tc>
        <w:tc>
          <w:tcPr>
            <w:tcW w:type="dxa" w:w="3360"/>
          </w:tcPr>
          <w:tcPr/>
          <w:p>
            <w:pPr>
              <w:pStyle w:val="Compact"/>
            </w:pPr>
            <w:r>
              <w:t xml:space="preserve">Email enabled, no SMTP</w:t>
            </w:r>
          </w:p>
        </w:tc>
        <w:tc>
          <w:tcPr>
            <w:tcW w:type="dxa" w:w="341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emailStatus: skipped</w:t>
            </w:r>
            <w:r>
              <w:t xml:space="preserve">, action succeeds</w:t>
            </w:r>
          </w:p>
        </w:tc>
      </w:tr>
      <w:tr>
        <w:trPr>
          <w:cantSplit/>
        </w:trPr>
        &gt;
        <w:tc>
          <w:tcPr>
            <w:tcW w:type="dxa" w:w="400"/>
          </w:tcPr>
          <w:tcPr/>
          <w:p>
            <w:pPr>
              <w:pStyle w:val="Compact"/>
            </w:pPr>
            <w:r>
              <w:t xml:space="preserve">14</w:t>
            </w:r>
          </w:p>
        </w:tc>
        <w:tc>
          <w:tcPr>
            <w:tcW w:type="dxa" w:w="2766"/>
          </w:tcPr>
          <w:tcPr/>
          <w:p>
            <w:pPr>
              <w:pStyle w:val="Compact"/>
            </w:pPr>
            <w:r>
              <w:t xml:space="preserve">Regression: bad date range</w:t>
            </w:r>
          </w:p>
        </w:tc>
        <w:tc>
          <w:tcPr>
            <w:tcW w:type="dxa" w:w="336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dateFrom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dateTo</w:t>
            </w:r>
          </w:p>
        </w:tc>
        <w:tc>
          <w:tcPr>
            <w:tcW w:type="dxa" w:w="3410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  <w:r>
              <w:t xml:space="preserve">, not an empty page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 7 suites, 32 tests, 32 passing.</w:t>
      </w:r>
      <w:r>
        <w:t xml:space="preserve"> </w:t>
      </w:r>
      <w:r>
        <w:t xml:space="preserve">A live API smoke test exercised match, competing claims, approval, closure, resolution, notifications, and email preference: 27 of 27 checks passed. The frontend passed a production build and a lint run with 0 errors.</w:t>
      </w:r>
    </w:p>
    <w:bookmarkEnd w:id="32"/>
    <w:bookmarkStart w:id="33" w:name="user-manual-phase-2-features"/>
    <w:p>
      <w:pPr>
        <w:pStyle w:val="Heading1"/>
      </w:pPr>
      <w:r>
        <w:t xml:space="preserve">5. User Manual (Phase 2 Features)</w:t>
      </w:r>
    </w:p>
    <w:p>
      <w:pPr>
        <w:pStyle w:val="FirstParagraph"/>
      </w:pPr>
      <w:r>
        <w:rPr>
          <w:b/>
          <w:bCs/>
        </w:rPr>
        <w:t xml:space="preserve">Suggested matches.</w:t>
      </w:r>
      <w:r>
        <w:t xml:space="preserve"> </w:t>
      </w:r>
      <w:r>
        <w:t xml:space="preserve">Open one of your own listings. The</w:t>
      </w:r>
      <w:r>
        <w:t xml:space="preserve"> </w:t>
      </w:r>
      <w:r>
        <w:rPr>
          <w:i/>
          <w:iCs/>
        </w:rPr>
        <w:t xml:space="preserve">Potential matches</w:t>
      </w:r>
      <w:r>
        <w:t xml:space="preserve"> </w:t>
      </w:r>
      <w:r>
        <w:t xml:space="preserve">panel shows each suggestion’s score and a per-factor breakdown.</w:t>
      </w:r>
    </w:p>
    <w:p>
      <w:pPr>
        <w:pStyle w:val="BodyText"/>
      </w:pPr>
      <w:r>
        <w:rPr>
          <w:b/>
          <w:bCs/>
        </w:rPr>
        <w:t xml:space="preserve">Claiming a found item.</w:t>
      </w:r>
      <w:r>
        <w:t xml:space="preserve"> </w:t>
      </w:r>
      <w:r>
        <w:t xml:space="preserve">Open an Active Found listing and select</w:t>
      </w:r>
      <w:r>
        <w:t xml:space="preserve"> </w:t>
      </w:r>
      <w:r>
        <w:rPr>
          <w:i/>
          <w:iCs/>
        </w:rPr>
        <w:t xml:space="preserve">Claim this item</w:t>
      </w:r>
      <w:r>
        <w:t xml:space="preserve">. Explain why the item is yours and enter at least two private details, such as a serial suffix; the owner alone sees them. The claim appears under</w:t>
      </w:r>
      <w:r>
        <w:t xml:space="preserve"> </w:t>
      </w:r>
      <w:r>
        <w:rPr>
          <w:i/>
          <w:iCs/>
        </w:rPr>
        <w:t xml:space="preserve">My Claims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Pending</w:t>
      </w:r>
      <w:r>
        <w:t xml:space="preserve">. You cannot claim your own or a Lost listing, an inactive item, or the same item twice.</w:t>
      </w:r>
    </w:p>
    <w:p>
      <w:pPr>
        <w:pStyle w:val="BodyText"/>
      </w:pPr>
      <w:r>
        <w:rPr>
          <w:b/>
          <w:bCs/>
        </w:rPr>
        <w:t xml:space="preserve">Reviewing claims and resolving.</w:t>
      </w:r>
      <w:r>
        <w:t xml:space="preserve"> </w:t>
      </w:r>
      <w:r>
        <w:t xml:space="preserve">As the owner, open your Found listing. The</w:t>
      </w:r>
      <w:r>
        <w:t xml:space="preserve"> </w:t>
      </w:r>
      <w:r>
        <w:rPr>
          <w:i/>
          <w:iCs/>
        </w:rPr>
        <w:t xml:space="preserve">Claims</w:t>
      </w:r>
      <w:r>
        <w:t xml:space="preserve"> </w:t>
      </w:r>
      <w:r>
        <w:t xml:space="preserve">panel lists each claim with the claimant’s name, explanation, and private evidence.</w:t>
      </w:r>
      <w:r>
        <w:t xml:space="preserve"> </w:t>
      </w:r>
      <w:r>
        <w:rPr>
          <w:i/>
          <w:iCs/>
        </w:rPr>
        <w:t xml:space="preserve">Approve</w:t>
      </w:r>
      <w:r>
        <w:t xml:space="preserve"> </w:t>
      </w:r>
      <w:r>
        <w:t xml:space="preserve">asks for confirmation because it closes every other pending claim;</w:t>
      </w:r>
      <w:r>
        <w:t xml:space="preserve"> </w:t>
      </w:r>
      <w:r>
        <w:rPr>
          <w:i/>
          <w:iCs/>
        </w:rPr>
        <w:t xml:space="preserve">Reject</w:t>
      </w:r>
      <w:r>
        <w:t xml:space="preserve"> </w:t>
      </w:r>
      <w:r>
        <w:t xml:space="preserve">records a decision note. Approval moves the listing to</w:t>
      </w:r>
      <w:r>
        <w:t xml:space="preserve"> </w:t>
      </w:r>
      <w:r>
        <w:rPr>
          <w:i/>
          <w:iCs/>
        </w:rPr>
        <w:t xml:space="preserve">Pending Return</w:t>
      </w:r>
      <w:r>
        <w:t xml:space="preserve">; after handing the item over,</w:t>
      </w:r>
      <w:r>
        <w:t xml:space="preserve"> </w:t>
      </w:r>
      <w:r>
        <w:rPr>
          <w:i/>
          <w:iCs/>
        </w:rPr>
        <w:t xml:space="preserve">Mark Resolved</w:t>
      </w:r>
      <w:r>
        <w:t xml:space="preserve"> </w:t>
      </w:r>
      <w:r>
        <w:t xml:space="preserve">makes it</w:t>
      </w:r>
      <w:r>
        <w:t xml:space="preserve"> </w:t>
      </w:r>
      <w:r>
        <w:rPr>
          <w:i/>
          <w:iCs/>
        </w:rPr>
        <w:t xml:space="preserve">Resolved</w:t>
      </w:r>
      <w:r>
        <w:t xml:space="preserve">, removes it from search and matches, and notifies the claimant.</w:t>
      </w:r>
    </w:p>
    <w:p>
      <w:pPr>
        <w:pStyle w:val="BodyText"/>
      </w:pPr>
      <w:r>
        <w:rPr>
          <w:b/>
          <w:bCs/>
        </w:rPr>
        <w:t xml:space="preserve">Notifications.</w:t>
      </w:r>
      <w:r>
        <w:t xml:space="preserve"> </w:t>
      </w:r>
      <w:r>
        <w:t xml:space="preserve">The bell shows your unread count.</w:t>
      </w:r>
      <w:r>
        <w:t xml:space="preserve"> </w:t>
      </w:r>
      <w:r>
        <w:rPr>
          <w:i/>
          <w:iCs/>
        </w:rPr>
        <w:t xml:space="preserve">Notifications</w:t>
      </w:r>
      <w:r>
        <w:t xml:space="preserve"> </w:t>
      </w:r>
      <w:r>
        <w:t xml:space="preserve">lists every event, newest first; select one to mark it read, or use</w:t>
      </w:r>
      <w:r>
        <w:t xml:space="preserve"> </w:t>
      </w:r>
      <w:r>
        <w:rPr>
          <w:i/>
          <w:iCs/>
        </w:rPr>
        <w:t xml:space="preserve">Mark all read</w:t>
      </w:r>
      <w:r>
        <w:t xml:space="preserve">. The</w:t>
      </w:r>
      <w:r>
        <w:t xml:space="preserve"> </w:t>
      </w:r>
      <w:r>
        <w:rPr>
          <w:i/>
          <w:iCs/>
        </w:rPr>
        <w:t xml:space="preserve">Email notifications</w:t>
      </w:r>
      <w:r>
        <w:t xml:space="preserve"> </w:t>
      </w:r>
      <w:r>
        <w:t xml:space="preserve">switch turns email off but keeps in-app notifications; if the mail server is down the notification is still recorded and your action still succeeds.</w:t>
      </w:r>
    </w:p>
    <w:bookmarkEnd w:id="33"/>
    <w:bookmarkStart w:id="34" w:name="compilation-and-run-instructions"/>
    <w:p>
      <w:pPr>
        <w:pStyle w:val="Heading1"/>
      </w:pPr>
      <w:r>
        <w:t xml:space="preserve">6. Compilation and Run Instructions</w:t>
      </w:r>
    </w:p>
    <w:p>
      <w:pPr>
        <w:pStyle w:val="FirstParagraph"/>
      </w:pPr>
      <w:r>
        <w:rPr>
          <w:b/>
          <w:bCs/>
        </w:rPr>
        <w:t xml:space="preserve">Prerequisites.</w:t>
      </w:r>
      <w:r>
        <w:t xml:space="preserve"> </w:t>
      </w:r>
      <w:r>
        <w:t xml:space="preserve">Node.js 20 or later, Git, and MongoDB 7 (local or Docker) at</w:t>
      </w:r>
      <w:r>
        <w:t xml:space="preserve"> </w:t>
      </w:r>
      <w:r>
        <w:rPr>
          <w:rStyle w:val="VerbatimChar"/>
        </w:rPr>
        <w:t xml:space="preserve">mongodb://127.0.0.1:27017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git clone &lt;repository-url&gt;</w:t>
      </w:r>
      <w:r>
        <w:br/>
      </w:r>
      <w:r>
        <w:rPr>
          <w:rStyle w:val="VerbatimChar"/>
        </w:rPr>
        <w:t xml:space="preserve">cd csce5430-falcons-lostandfoundapp</w:t>
      </w:r>
      <w:r>
        <w:br/>
      </w:r>
      <w:r>
        <w:rPr>
          <w:rStyle w:val="VerbatimChar"/>
        </w:rPr>
        <w:t xml:space="preserve">docker run -d --name lostfound-mongo -p 27017:27017 mongo:7</w:t>
      </w:r>
    </w:p>
    <w:p>
      <w:pPr>
        <w:pStyle w:val="FirstParagraph"/>
      </w:pPr>
      <w:r>
        <w:rPr>
          <w:b/>
          <w:bCs/>
        </w:rPr>
        <w:t xml:space="preserve">Backend.</w:t>
      </w:r>
      <w:r>
        <w:t xml:space="preserve"> </w:t>
      </w: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PORT=5000</w:t>
      </w:r>
      <w:r>
        <w:t xml:space="preserve">,</w:t>
      </w:r>
      <w:r>
        <w:t xml:space="preserve"> </w:t>
      </w:r>
      <w:r>
        <w:rPr>
          <w:rStyle w:val="VerbatimChar"/>
        </w:rPr>
        <w:t xml:space="preserve">MONGODB_URI=mongodb://127.0.0.1:27017/lost_and_found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MONGODB_URI_TEST=mongodb://127.0.0.1:27017/lost_and_found_test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APP_BASE_URL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CLIENT_ORIGIN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http://localhost:5173</w:t>
      </w:r>
      <w:r>
        <w:t xml:space="preserve">).</w:t>
      </w:r>
      <w:r>
        <w:t xml:space="preserve"> </w:t>
      </w:r>
      <w:r>
        <w:rPr>
          <w:rStyle w:val="VerbatimChar"/>
        </w:rPr>
        <w:t xml:space="preserve">SMTP_*</w:t>
      </w:r>
      <w:r>
        <w:t xml:space="preserve"> </w:t>
      </w:r>
      <w:r>
        <w:t xml:space="preserve">is optional; without it emails are recorded as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and in-app notifications still work.</w:t>
      </w:r>
    </w:p>
    <w:p>
      <w:pPr>
        <w:pStyle w:val="SourceCode"/>
      </w:pPr>
      <w:r>
        <w:rPr>
          <w:rStyle w:val="VerbatimChar"/>
        </w:rPr>
        <w:t xml:space="preserve">cd src/backend &amp;&amp; npm install &amp;&amp; cp .env.example .env &amp;&amp; npm run dev   # API :5000</w:t>
      </w:r>
      <w:r>
        <w:br/>
      </w:r>
      <w:r>
        <w:rPr>
          <w:rStyle w:val="VerbatimChar"/>
        </w:rPr>
        <w:t xml:space="preserve">cd src/frontend &amp;&amp; npm install</w:t>
      </w:r>
      <w:r>
        <w:br/>
      </w:r>
      <w:r>
        <w:rPr>
          <w:rStyle w:val="VerbatimChar"/>
        </w:rPr>
        <w:t xml:space="preserve">echo "VITE_API_BASE_URL=http://localhost:5000" &gt; .env &amp;&amp; npm run dev   # Vite :5173</w:t>
      </w:r>
    </w:p>
    <w:p>
      <w:pPr>
        <w:pStyle w:val="FirstParagraph"/>
      </w:pPr>
      <w:r>
        <w:rPr>
          <w:b/>
          <w:bCs/>
        </w:rPr>
        <w:t xml:space="preserve">Verify.</w:t>
      </w:r>
      <w:r>
        <w:t xml:space="preserve"> </w:t>
      </w:r>
      <w:r>
        <w:rPr>
          <w:rStyle w:val="VerbatimChar"/>
        </w:rPr>
        <w:t xml:space="preserve">curl http://127.0.0.1:5000/api/v1/health</w:t>
      </w:r>
      <w:r>
        <w:t xml:space="preserve"> </w:t>
      </w:r>
      <w:r>
        <w:t xml:space="preserve">must return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Create a Found and a Lost listing with the same category, building, and a nearby date; the Lost listing should show a match above 65 points.</w:t>
      </w:r>
    </w:p>
    <w:p>
      <w:pPr>
        <w:pStyle w:val="BodyText"/>
      </w:pPr>
      <w:r>
        <w:rPr>
          <w:b/>
          <w:bCs/>
        </w:rPr>
        <w:t xml:space="preserve">Tests.</w:t>
      </w:r>
      <w:r>
        <w:t xml:space="preserve"> </w:t>
      </w:r>
      <w:r>
        <w:t xml:space="preserve">MongoDB must be running and</w:t>
      </w:r>
      <w:r>
        <w:t xml:space="preserve"> </w:t>
      </w:r>
      <w:r>
        <w:rPr>
          <w:rStyle w:val="VerbatimChar"/>
        </w:rPr>
        <w:t xml:space="preserve">MONGODB_URI_TEST</w:t>
      </w:r>
      <w:r>
        <w:t xml:space="preserve"> </w:t>
      </w:r>
      <w:r>
        <w:t xml:space="preserve">must point at a disposable database; the suite clears its own data and never touches the development database.</w:t>
      </w:r>
    </w:p>
    <w:p>
      <w:pPr>
        <w:pStyle w:val="SourceCode"/>
      </w:pPr>
      <w:r>
        <w:rPr>
          <w:rStyle w:val="VerbatimChar"/>
        </w:rPr>
        <w:t xml:space="preserve">cd src/backend &amp;&amp; npm test          # or: npx jest --runInBand</w:t>
      </w:r>
      <w:r>
        <w:br/>
      </w:r>
      <w:r>
        <w:rPr>
          <w:rStyle w:val="VerbatimChar"/>
        </w:rPr>
        <w:t xml:space="preserve">cd ../frontend &amp;&amp; npm run build &amp;&amp; npm run lint</w:t>
      </w:r>
    </w:p>
    <w:p>
      <w:pPr>
        <w:pStyle w:val="FirstParagraph"/>
      </w:pPr>
      <w:r>
        <w:t xml:space="preserve">Expected: 7 suites, 32 tests passing, a clean production build, and no lint errors.</w:t>
      </w:r>
    </w:p>
    <w:bookmarkEnd w:id="34"/>
    <w:bookmarkStart w:id="35" w:name="code-inspection-feedback"/>
    <w:p>
      <w:pPr>
        <w:pStyle w:val="Heading1"/>
      </w:pPr>
      <w:r>
        <w:t xml:space="preserve">7. Code Inspection Feedback</w:t>
      </w:r>
    </w:p>
    <w:p>
      <w:pPr>
        <w:pStyle w:val="FirstParagraph"/>
      </w:pPr>
      <w:r>
        <w:t xml:space="preserve">The Phase 2 code-inspection session had not taken place when this report was written, so this section does not invent remarks.</w:t>
      </w:r>
      <w:r>
        <w:t xml:space="preserve"> </w:t>
      </w:r>
      <w:r>
        <w:rPr>
          <w:b/>
          <w:bCs/>
        </w:rPr>
        <w:t xml:space="preserve">From the Deliverable 3 inspection.</w:t>
      </w:r>
      <w:r>
        <w:t xml:space="preserve"> </w:t>
      </w:r>
      <w:r>
        <w:t xml:space="preserve">Reviewers asked for clearer separation between public listing data and claim evidence, now enforced in the schema rather than only the interface; for the matching and notification modules to be reachable from real routes instead of unused drafts, now wired into the listing and claim flows; and for tests covering authorization boundaries, which now assert owner/non-owner, verified/unverified, and state-transition failures.</w:t>
      </w:r>
    </w:p>
    <w:p>
      <w:pPr>
        <w:pStyle w:val="BodyText"/>
      </w:pPr>
      <w:r>
        <w:rPr>
          <w:b/>
          <w:bCs/>
        </w:rPr>
        <w:t xml:space="preserve">From the Deliverable 2 workshop.</w:t>
      </w:r>
      <w:r>
        <w:t xml:space="preserve"> </w:t>
      </w:r>
      <w:r>
        <w:t xml:space="preserve">The workshop asked for a defined lifecycle (Active, Pending Return, Resolved), a claim step separate from messaging, and a rule that email failure must not break a workflow. All three are in Sections 1.5 and 1.6.</w:t>
      </w:r>
    </w:p>
    <w:p>
      <w:pPr>
        <w:pStyle w:val="BodyText"/>
      </w:pPr>
      <w:r>
        <w:rPr>
          <w:b/>
          <w:bCs/>
        </w:rPr>
        <w:t xml:space="preserve">Outstanding.</w:t>
      </w:r>
      <w:r>
        <w:t xml:space="preserve"> </w:t>
      </w:r>
      <w:r>
        <w:t xml:space="preserve">Written feedback from the Phase 2 inspection will be appended here, with the action taken for each remark.</w:t>
      </w:r>
    </w:p>
    <w:bookmarkEnd w:id="35"/>
    <w:bookmarkStart w:id="36" w:name="reflection"/>
    <w:p>
      <w:pPr>
        <w:pStyle w:val="Heading1"/>
      </w:pPr>
      <w:r>
        <w:t xml:space="preserve">8. Reflection</w:t>
      </w:r>
    </w:p>
    <w:p>
      <w:pPr>
        <w:pStyle w:val="FirstParagraph"/>
      </w:pPr>
      <w:r>
        <w:t xml:space="preserve">Phase 2 is the first increment where the project behaves like a product rather than a set of screens. A Lost listing produces scored, explainable suggestions; a stranger can prove ownership without publishing the proof; the owner decides once and only once; and the losing claimants are told why. Storing the</w:t>
      </w:r>
      <w:r>
        <w:t xml:space="preserve"> </w:t>
      </w:r>
      <w:r>
        <w:rPr>
          <w:i/>
          <w:iCs/>
        </w:rPr>
        <w:t xml:space="preserve">factors</w:t>
      </w:r>
      <w:r>
        <w:t xml:space="preserve"> </w:t>
      </w:r>
      <w:r>
        <w:t xml:space="preserve">next to the score cost one small schema and made the feature testable and defensible.</w:t>
      </w:r>
    </w:p>
    <w:p>
      <w:pPr>
        <w:pStyle w:val="BodyText"/>
      </w:pPr>
      <w:r>
        <w:t xml:space="preserve">What went well: the requirement text was precise enough to implement literally, so the scoring table, status names, and error codes map one-to-one onto the code and tests. Keeping email failures out of the transactional path removed a class of</w:t>
      </w:r>
      <w:r>
        <w:t xml:space="preserve"> </w:t>
      </w:r>
      <w:r>
        <w:t xml:space="preserve">“the claim succeeded but the user saw an error”</w:t>
      </w:r>
      <w:r>
        <w:t xml:space="preserve"> </w:t>
      </w:r>
      <w:r>
        <w:t xml:space="preserve">bugs.</w:t>
      </w:r>
    </w:p>
    <w:p>
      <w:pPr>
        <w:pStyle w:val="BodyText"/>
      </w:pPr>
      <w:r>
        <w:t xml:space="preserve">What could be improved: two modules were written before they were connected, which produced a false sense of progress until a live run showed that no match was ever stored; a feature must be wired to a route the day it is written. Approval needed a second pass to become race-safe, and the frontend still has no automated tests, the largest gap before Phase 3.</w:t>
      </w:r>
    </w:p>
    <w:bookmarkEnd w:id="36"/>
    <w:bookmarkStart w:id="37" w:name="member-contribution-table"/>
    <w:p>
      <w:pPr>
        <w:pStyle w:val="Heading1"/>
      </w:pPr>
      <w:r>
        <w:t xml:space="preserve">9. Member Contribution Table</w:t>
      </w:r>
    </w:p>
    <w:p>
      <w:pPr>
        <w:pStyle w:val="FirstParagraph"/>
      </w:pPr>
      <w:r>
        <w:rPr>
          <w:b/>
          <w:bCs/>
        </w:rPr>
        <w:t xml:space="preserve">Table 6. Contribution by member.</w:t>
      </w:r>
    </w:p>
    <w:tbl>
      <w:tblPr>
        <w:tblStyle w:val="Table"/>
        <w:tblW w:type="dxa" w:w="9936"/>
        <w:tblLayout w:type="fixed"/>
        <w:tblLook w:firstRow="1" w:lastRow="0" w:firstColumn="0" w:lastColumn="0" w:noHBand="0" w:noVBand="0" w:val="0020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30"/>
        <w:gridCol w:w="6806"/>
        <w:gridCol w:w="1400"/>
      </w:tblGrid>
      <w:tr>
        <w:trPr>
          <w:cantSplit/>
          <w:tblHeader w:val="on"/>
        </w:trPr>
        <w:tc>
          <w:tcPr>
            <w:tcW w:type="dxa" w:w="1730"/>
          </w:tcPr>
          <w:tcPr/>
          <w:p>
            <w:pPr>
              <w:pStyle w:val="Compact"/>
            </w:pPr>
            <w:r>
              <w:t xml:space="preserve">Member</w:t>
            </w:r>
          </w:p>
        </w:tc>
        <w:tc>
          <w:tcPr>
            <w:tcW w:type="dxa" w:w="6806"/>
          </w:tcPr>
          <w:tcPr/>
          <w:p>
            <w:pPr>
              <w:pStyle w:val="Compact"/>
            </w:pPr>
            <w:r>
              <w:t xml:space="preserve">Contribution</w:t>
            </w:r>
          </w:p>
        </w:tc>
        <w:tc>
          <w:tcPr>
            <w:tcW w:type="dxa" w:w="1400"/>
          </w:tcPr>
          <w:tcPr/>
          <w:p>
            <w:pPr>
              <w:pStyle w:val="Compact"/>
            </w:pPr>
            <w:r>
              <w:t xml:space="preserve">Overall (%)</w:t>
            </w:r>
          </w:p>
        </w:tc>
      </w:tr>
      <w:tr>
        <w:trPr>
          <w:cantSplit/>
        </w:trPr>
        &gt;
        <w:tc>
          <w:tcPr>
            <w:tcW w:type="dxa" w:w="1730"/>
          </w:tcPr>
          <w:tcPr/>
          <w:p>
            <w:pPr>
              <w:pStyle w:val="Compact"/>
            </w:pPr>
            <w:r>
              <w:t xml:space="preserve">Waleed Mirza</w:t>
            </w:r>
          </w:p>
        </w:tc>
        <w:tc>
          <w:tcPr>
            <w:tcW w:type="dxa" w:w="6806"/>
          </w:tcPr>
          <w:tcPr/>
          <w:p>
            <w:pPr>
              <w:pStyle w:val="Compact"/>
            </w:pPr>
            <w:r>
              <w:t xml:space="preserve">Coordinated the phase; authored the requirements, UML notes, AI usage, inspection, and reflection sections; verified the end-to-end chain</w:t>
            </w:r>
          </w:p>
        </w:tc>
        <w:tc>
          <w:tcPr>
            <w:tcW w:type="dxa" w:w="1400"/>
          </w:tcPr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rPr>
          <w:cantSplit/>
        </w:trPr>
        &gt;
        <w:tc>
          <w:tcPr>
            <w:tcW w:type="dxa" w:w="1730"/>
          </w:tcPr>
          <w:tcPr/>
          <w:p>
            <w:pPr>
              <w:pStyle w:val="Compact"/>
            </w:pPr>
            <w:r>
              <w:t xml:space="preserve">Venkata Sai Anirudh Naidu Mamidi</w:t>
            </w:r>
          </w:p>
        </w:tc>
        <w:tc>
          <w:tcPr>
            <w:tcW w:type="dxa" w:w="6806"/>
          </w:tcPr>
          <w:tcPr/>
          <w:p>
            <w:pPr>
              <w:pStyle w:val="Compact"/>
            </w:pPr>
            <w:r>
              <w:t xml:space="preserve">Implemented the backend models, controllers, routes, matching, notification, and email services</w:t>
            </w:r>
          </w:p>
        </w:tc>
        <w:tc>
          <w:tcPr>
            <w:tcW w:type="dxa" w:w="1400"/>
          </w:tcPr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rPr>
          <w:cantSplit/>
        </w:trPr>
        &gt;
        <w:tc>
          <w:tcPr>
            <w:tcW w:type="dxa" w:w="1730"/>
          </w:tcPr>
          <w:tcPr/>
          <w:p>
            <w:pPr>
              <w:pStyle w:val="Compact"/>
            </w:pPr>
            <w:r>
              <w:t xml:space="preserve">Sai Sathvika Potluri</w:t>
            </w:r>
          </w:p>
        </w:tc>
        <w:tc>
          <w:tcPr>
            <w:tcW w:type="dxa" w:w="6806"/>
          </w:tcPr>
          <w:tcPr/>
          <w:p>
            <w:pPr>
              <w:pStyle w:val="Compact"/>
            </w:pPr>
            <w:r>
              <w:t xml:space="preserve">Produced the three UML diagrams; reviewed the claim and notification screens; contributed to the user manual</w:t>
            </w:r>
          </w:p>
        </w:tc>
        <w:tc>
          <w:tcPr>
            <w:tcW w:type="dxa" w:w="1400"/>
          </w:tcPr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rPr>
          <w:cantSplit/>
        </w:trPr>
        &gt;
        <w:tc>
          <w:tcPr>
            <w:tcW w:type="dxa" w:w="1730"/>
          </w:tcPr>
          <w:tcPr/>
          <w:p>
            <w:pPr>
              <w:pStyle w:val="Compact"/>
            </w:pPr>
            <w:r>
              <w:t xml:space="preserve">Sai Asritha Thati</w:t>
            </w:r>
          </w:p>
        </w:tc>
        <w:tc>
          <w:tcPr>
            <w:tcW w:type="dxa" w:w="6806"/>
          </w:tcPr>
          <w:tcPr/>
          <w:p>
            <w:pPr>
              <w:pStyle w:val="Compact"/>
            </w:pPr>
            <w:r>
              <w:t xml:space="preserve">Implemented the frontend; authored the test cases; ran the automated suites and the manual pass</w:t>
            </w:r>
          </w:p>
        </w:tc>
        <w:tc>
          <w:tcPr>
            <w:tcW w:type="dxa" w:w="1400"/>
          </w:tcPr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rPr>
          <w:cantSplit/>
        </w:trPr>
        &gt;
        <w:tc>
          <w:tcPr>
            <w:tcW w:type="dxa" w:w="1730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6806"/>
          </w:tcPr>
          <w:tcPr/>
          <w:p>
            <w:pPr>
              <w:pStyle w:val="Compact"/>
            </w:pPr>
          </w:p>
        </w:tc>
        <w:tc>
          <w:tcPr>
            <w:tcW w:type="dxa" w:w="1400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37"/>
    <w:sectPr>
      <w:pgSz w:h="15840" w:w="12240"/>
      <w:pgMar w:bottom="1152" w:footer="720" w:gutter="0" w:header="720" w:left="1152" w:right="1152" w:top="1152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0" w:before="0" w:line="24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 w:line="24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 w:line="225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70" w:before="1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110"/>
      <w:outlineLvl w:val="1"/>
    </w:pPr>
    <w:rPr>
      <w:rFonts w:asciiTheme="majorHAnsi" w:cstheme="majorBidi" w:eastAsiaTheme="majorEastAsia" w:hAnsiTheme="majorHAnsi"/>
      <w:color w:themeColor="accent1" w:themeShade="BF" w:val="0F4761"/>
      <w:sz w:val="23"/>
      <w:szCs w:val="23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30" w:before="90"/>
      <w:outlineLvl w:val="2"/>
    </w:pPr>
    <w:rPr>
      <w:rFonts w:cstheme="majorBidi" w:eastAsiaTheme="majorEastAsia"/>
      <w:color w:themeColor="accent1" w:themeShade="BF" w:val="0F4761"/>
      <w:sz w:val="21"/>
      <w:szCs w:val="21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30" w:before="100"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2026-10-28T23:06:26Z</dcterms:created>
  <dcterms:modified xsi:type="dcterms:W3CDTF">2026-10-28T23:06:26Z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