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Resumen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6rqijem0gd6t" w:id="0"/>
      <w:bookmarkEnd w:id="0"/>
      <w:r w:rsidDel="00000000" w:rsidR="00000000" w:rsidRPr="00000000">
        <w:rPr>
          <w:rtl w:val="0"/>
        </w:rPr>
        <w:t xml:space="preserve">Factor Económico: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España enfrenta una crisis económica, con una tasa de desempleo del 16.50% en Extremadura, así que, aunque el presupuesto para el ocio se ve afectado, el gasto medio por hogar aumentó en 2022.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 por ello que buscamos ofrecer servicios asequibles para contrarrestar la posible reducción del presupuesto.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f2ntmr0nq01" w:id="1"/>
      <w:bookmarkEnd w:id="1"/>
      <w:r w:rsidDel="00000000" w:rsidR="00000000" w:rsidRPr="00000000">
        <w:rPr>
          <w:rtl w:val="0"/>
        </w:rPr>
        <w:t xml:space="preserve">2. Factores Socio-Culturales: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bowling ha ganado popularidad, especialmente entre jóvenes. Varias encuestas indican una demanda significativa en la población objetivo de 15 a 24 años.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Tenemos la oportunidad de ser pioneros en traer bolos federados a Extremadura y poder ofrecer servicios a  poblaciones cercanas sin boleras.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Nuestra estrategia: un enfoque en promociones y eventos para atraer a este grupo demográfico.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mdybivrzm0z3" w:id="2"/>
      <w:bookmarkEnd w:id="2"/>
      <w:r w:rsidDel="00000000" w:rsidR="00000000" w:rsidRPr="00000000">
        <w:rPr>
          <w:rtl w:val="0"/>
        </w:rPr>
        <w:t xml:space="preserve">3. Factores Político-Legales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Tenemos en cuenta las leyes en Extremadura que  regulan actividades de ocio, consumo de alcohol, ruido, y horarios de apertura. Es necesario cumplir con la normativa vigente para la operación del negocio.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s625k06wzbjl" w:id="3"/>
      <w:bookmarkEnd w:id="3"/>
      <w:r w:rsidDel="00000000" w:rsidR="00000000" w:rsidRPr="00000000">
        <w:rPr>
          <w:rtl w:val="0"/>
        </w:rPr>
        <w:t xml:space="preserve">4. Factores Tecnológicos: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Usaremos la tecnología para promocionar servicios, gestionar pagos, y administrar partidas; además de contar con una aplicación informática para la gestión interna y sistema de gestión empresarial propio.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8aeyamc2rkn" w:id="4"/>
      <w:bookmarkEnd w:id="4"/>
      <w:r w:rsidDel="00000000" w:rsidR="00000000" w:rsidRPr="00000000">
        <w:rPr>
          <w:rtl w:val="0"/>
        </w:rPr>
        <w:t xml:space="preserve">5. Factores Ambientales: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Consideración de la ubicación para evitar molestias por ruido y conciencia de la estacionalidad y su impacto en el flujo de clientes.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rgy4ak92yi9h" w:id="5"/>
      <w:bookmarkEnd w:id="5"/>
      <w:r w:rsidDel="00000000" w:rsidR="00000000" w:rsidRPr="00000000">
        <w:rPr>
          <w:rtl w:val="0"/>
        </w:rPr>
        <w:t xml:space="preserve">Análisis Porter: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Amenaza de Nuevos Competidores: Fuerte inversión inicial y dificultad para cumplir normativas pueden limitar nuevos competidores.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Amenaza de Productos Sustitutivos: Teatro, discotecas, senderismo, cines, y restaurantes son sustitutos potenciales.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Poder de Negociación de Clientes: Relativamente bajo debido a la falta de competencia directa, respaldado por oferta única y estrategias de fidelización.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Poder de Negociación de Proveedores: Alto para productos especializados de bolos; ALF Bowling como proveedor principal.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Rivalidad existente en el sector: La bolera de Navalmoral, Multicines Alkazar Plasencia McDonald's, Burger King y Eclipse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sangela De la Rosa Carrera" w:id="0" w:date="2024-01-11T18:45:34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ChatGpt 3.5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