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b/>
          <w:sz w:val="26"/>
        </w:rPr>
        <w:t>Ministerio de Educación y Ciencias</w:t>
      </w:r>
    </w:p>
    <w:p>
      <w:pPr>
        <w:spacing w:after="80"/>
        <w:jc w:val="center"/>
      </w:pPr>
      <w:r>
        <w:rPr>
          <w:b/>
          <w:sz w:val="26"/>
        </w:rPr>
        <w:t>Colegio Nacional Defensores del Chaco</w:t>
      </w:r>
    </w:p>
    <w:p/>
    <w:p>
      <w:pPr>
        <w:jc w:val="center"/>
      </w:pPr>
      <w:r>
        <w:rPr>
          <w:b/>
          <w:color w:val="0055A4"/>
          <w:sz w:val="32"/>
        </w:rPr>
        <w:t>Técnicas Instrumentales II</w:t>
      </w:r>
    </w:p>
    <w:p>
      <w:pPr>
        <w:jc w:val="center"/>
      </w:pPr>
      <w:r>
        <w:rPr>
          <w:sz w:val="24"/>
        </w:rPr>
        <w:t>Segundo Curso – BTCC</w:t>
      </w:r>
    </w:p>
    <w:p/>
    <w:p>
      <w:pPr>
        <w:spacing w:after="400"/>
        <w:jc w:val="center"/>
      </w:pPr>
      <w:r>
        <w:rPr>
          <w:b/>
          <w:color w:val="0055A4"/>
          <w:sz w:val="36"/>
        </w:rPr>
        <w:t>Material del Estudiante</w:t>
      </w:r>
    </w:p>
    <w:p>
      <w:pPr>
        <w:spacing w:after="80"/>
        <w:jc w:val="center"/>
      </w:pPr>
      <w:r>
        <w:rPr>
          <w:b/>
          <w:color w:val="000000"/>
          <w:sz w:val="28"/>
        </w:rPr>
        <w:t>TEMA 08 – CÓMPUTO APLICADO AL HORMIGÓN ARMADO</w:t>
      </w:r>
    </w:p>
    <w:p>
      <w:pPr>
        <w:jc w:val="center"/>
      </w:pPr>
      <w:r>
        <w:rPr>
          <w:sz w:val="22"/>
        </w:rPr>
        <w:t>Mes: Octubre  |  16 h cátedra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r>
              <w:rPr>
                <w:b/>
              </w:rPr>
              <w:t>Clase 1</w:t>
            </w:r>
          </w:p>
        </w:tc>
        <w:tc>
          <w:tcPr>
            <w:tcW w:type="dxa" w:w="4762"/>
          </w:tcPr>
          <w:p>
            <w:r>
              <w:t>Introducción HA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2</w:t>
            </w:r>
          </w:p>
        </w:tc>
        <w:tc>
          <w:tcPr>
            <w:tcW w:type="dxa" w:w="4762"/>
          </w:tcPr>
          <w:p>
            <w:r>
              <w:t>Volumen y encofrado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3</w:t>
            </w:r>
          </w:p>
        </w:tc>
        <w:tc>
          <w:tcPr>
            <w:tcW w:type="dxa" w:w="4762"/>
          </w:tcPr>
          <w:p>
            <w:r>
              <w:t>Cómputo acero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4</w:t>
            </w:r>
          </w:p>
        </w:tc>
        <w:tc>
          <w:tcPr>
            <w:tcW w:type="dxa" w:w="4762"/>
          </w:tcPr>
          <w:p>
            <w:r>
              <w:t>Ejercicios HA</w:t>
            </w:r>
          </w:p>
        </w:tc>
      </w:tr>
    </w:tbl>
    <w:p/>
    <w:p>
      <w:pPr>
        <w:jc w:val="center"/>
      </w:pPr>
      <w:r>
        <w:rPr>
          <w:b/>
          <w:sz w:val="28"/>
        </w:rPr>
        <w:t>Año 2026</w:t>
      </w:r>
    </w:p>
    <w:p>
      <w:pPr>
        <w:sectPr>
          <w:pgSz w:w="11906" w:h="16838"/>
          <w:pgMar w:top="1247" w:right="1191" w:bottom="1020" w:left="1191" w:header="720" w:footer="720" w:gutter="0"/>
          <w:cols w:space="720"/>
          <w:docGrid w:linePitch="360"/>
        </w:sectPr>
      </w:pPr>
    </w:p>
    <w:p>
      <w:pPr>
        <w:pStyle w:val="BTCCH1"/>
      </w:pPr>
      <w:r>
        <w:rPr>
          <w:b w:val="0"/>
          <w:i w:val="0"/>
        </w:rPr>
        <w:t>Tema 8. Computo aplicado al hormigon armado</w:t>
      </w:r>
    </w:p>
    <w:p>
      <w:r>
        <w:rPr>
          <w:b/>
          <w:i w:val="0"/>
        </w:rPr>
        <w:t>Capacidad:</w:t>
      </w:r>
      <w:r>
        <w:rPr>
          <w:b w:val="0"/>
          <w:i w:val="0"/>
        </w:rPr>
        <w:t>Determina volumen de hormigon, acero y encofrados.</w:t>
      </w:r>
    </w:p>
    <w:p>
      <w:r>
        <w:rPr>
          <w:b/>
          <w:i w:val="0"/>
        </w:rPr>
        <w:t>Proposito:</w:t>
      </w:r>
      <w:r>
        <w:rPr>
          <w:b w:val="0"/>
          <w:i w:val="0"/>
        </w:rPr>
        <w:t>Reconocer los principales componentes del computo en estructuras de hormigon armado.</w:t>
      </w:r>
    </w:p>
    <w:p>
      <w:pPr>
        <w:pStyle w:val="BTCCH1"/>
      </w:pPr>
      <w:r>
        <w:rPr>
          <w:b w:val="0"/>
          <w:i w:val="0"/>
        </w:rPr>
        <w:t>Ejercitario</w:t>
      </w:r>
    </w:p>
    <w:p>
      <w:pPr>
        <w:pStyle w:val="ListNumber"/>
      </w:pPr>
      <w:r>
        <w:rPr>
          <w:b w:val="0"/>
          <w:i w:val="0"/>
        </w:rPr>
        <w:t>Defina encofrado.</w:t>
      </w:r>
    </w:p>
    <w:p>
      <w:pPr>
        <w:pStyle w:val="ListNumber"/>
      </w:pPr>
      <w:r>
        <w:rPr>
          <w:b w:val="0"/>
          <w:i w:val="0"/>
        </w:rPr>
        <w:t>Mencione los componentes principales del computo en hormigon armado.</w:t>
      </w:r>
    </w:p>
    <w:p>
      <w:pPr>
        <w:pStyle w:val="ListNumber"/>
      </w:pPr>
      <w:r>
        <w:rPr>
          <w:b w:val="0"/>
          <w:i w:val="0"/>
        </w:rPr>
        <w:t>Explique por que se calcula tambien el acero.</w:t>
      </w:r>
    </w:p>
    <w:p>
      <w:pPr>
        <w:pStyle w:val="ListNumber"/>
      </w:pPr>
      <w:r>
        <w:rPr>
          <w:b w:val="0"/>
          <w:i w:val="0"/>
        </w:rPr>
        <w:t>Indique que significa dosificacion basica.</w:t>
      </w:r>
    </w:p>
    <w:p>
      <w:pPr>
        <w:pStyle w:val="BTCCH1"/>
      </w:pPr>
      <w:r>
        <w:rPr>
          <w:b w:val="0"/>
          <w:i w:val="0"/>
        </w:rPr>
        <w:t>Desglose por clases (4 × 4 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Clase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Tema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Enlace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Introducción al cómputo de HA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Volumen de hormigón y encofrados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Cómputo de acero de refuerzo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Ejercicios prácticos de HA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TCCTitle">
    <w:name w:val="BTCC Title"/>
    <w:basedOn w:val="Normal"/>
    <w:pPr>
      <w:spacing w:after="200"/>
      <w:jc w:val="center"/>
    </w:pPr>
    <w:rPr>
      <w:rFonts w:ascii="Times New Roman" w:hAnsi="Times New Roman"/>
      <w:b/>
      <w:color w:val="0055A4"/>
      <w:sz w:val="48"/>
    </w:rPr>
  </w:style>
  <w:style w:type="paragraph" w:customStyle="1" w:styleId="BTCCH1">
    <w:name w:val="BTCC H1"/>
    <w:basedOn w:val="Normal"/>
    <w:pPr>
      <w:spacing w:before="160" w:after="100"/>
    </w:pPr>
    <w:rPr>
      <w:rFonts w:ascii="Times New Roman" w:hAnsi="Times New Roman"/>
      <w:b/>
      <w:color w:val="0055A4"/>
      <w:sz w:val="34"/>
    </w:rPr>
  </w:style>
  <w:style w:type="paragraph" w:customStyle="1" w:styleId="BTCCH2">
    <w:name w:val="BTCC H2"/>
    <w:basedOn w:val="Normal"/>
    <w:pPr>
      <w:spacing w:before="160" w:after="100"/>
    </w:pPr>
    <w:rPr>
      <w:rFonts w:ascii="Times New Roman" w:hAnsi="Times New Roman"/>
      <w:b/>
      <w:color w:val="00000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