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c>
          <w:tcPr>
            <w:tcW w:type="dxa" w:w="5040"/>
            <w:tcBorders>
              <w:top w:val="none"/>
              <w:left w:val="none"/>
              <w:bottom w:val="none"/>
              <w:right w:sz="4" w:val="single" w:color="D3D3D3"/>
            </w:tcBorders>
            <w:tcMar>
              <w:top w:w="40" w:type="dxa"/>
              <w:bottom w:w="40" w:type="dxa"/>
              <w:left w:w="30" w:type="dxa"/>
              <w:right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360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enturi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36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60" w:type="dxa"/>
              <w:right w:w="30" w:type="dxa"/>
            </w:tcMar>
          </w:tcPr>
          <w:p>
            <w:pPr>
              <w:spacing w:line="276" w:lineRule="auto" w:before="0" w:after="0"/>
            </w:pPr>
            <w:r>
              <w:rPr>
                <w:b/>
                <w:color w:val="047857"/>
                <w:sz w:val="20"/>
              </w:rPr>
              <w:t>INSTITUTO SUPERIOR DE CIENCIAS EMPRESARIALES CENTURIA</w:t>
              <w:br/>
            </w:r>
            <w:r>
              <w:rPr>
                <w:sz w:val="18"/>
              </w:rPr>
              <w:t>Materia: Sociología  |  Profesor: C.P Mg. Juan Carlos Montiel</w:t>
              <w:br/>
              <w:t>Tipo de Evaluación: Cuestionario Evaluativo de Criterio</w:t>
              <w:br/>
            </w:r>
          </w:p>
        </w:tc>
      </w:tr>
    </w:tbl>
    <w:p>
      <w:pPr>
        <w:spacing w:before="12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2736"/>
        <w:gridCol w:w="2736"/>
      </w:tblGrid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9F9F9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Estudiante: </w:t>
            </w:r>
            <w:r>
              <w:rPr>
                <w:sz w:val="18"/>
              </w:rPr>
              <w:t>______________________________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9F9F9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Fecha: </w:t>
            </w:r>
            <w:r>
              <w:rPr>
                <w:sz w:val="18"/>
              </w:rPr>
              <w:t>____/____/2026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9F9F9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Puntaje: </w:t>
            </w:r>
            <w:r>
              <w:rPr>
                <w:sz w:val="18"/>
              </w:rPr>
              <w:t>_______ / 25 pts.</w:t>
            </w:r>
          </w:p>
        </w:tc>
      </w:tr>
    </w:tbl>
    <w:p>
      <w:pPr>
        <w:spacing w:before="120" w:after="240"/>
        <w:jc w:val="center"/>
      </w:pPr>
      <w:r>
        <w:rPr>
          <w:b/>
          <w:color w:val="047857"/>
          <w:sz w:val="24"/>
        </w:rPr>
        <w:t>EVALUACIÓN ESCRITA DE SOCIOLOGÍA</w:t>
      </w:r>
    </w:p>
    <w:p>
      <w:pPr>
        <w:pStyle w:val="Heading1"/>
        <w:spacing w:before="120" w:after="80"/>
      </w:pPr>
      <w:r>
        <w:t>I. SELECCIÓN MÚLTIPLE (10 Puntos - 1 pt. c/u)</w:t>
      </w:r>
    </w:p>
    <w:p>
      <w:pPr>
        <w:spacing w:before="60" w:after="40"/>
      </w:pPr>
      <w:r>
        <w:rPr>
          <w:b/>
        </w:rPr>
        <w:t>1. ¿Quién propuso la “Ley de los Tres Estados”?</w:t>
      </w:r>
    </w:p>
    <w:p>
      <w:pPr>
        <w:spacing w:after="40"/>
        <w:ind w:left="360"/>
      </w:pPr>
      <w:r>
        <w:t>a) É. Durkheim      b) M. Weber      c) A. Comte      d) K. Marx</w:t>
      </w:r>
    </w:p>
    <w:p>
      <w:pPr>
        <w:spacing w:before="60" w:after="40"/>
      </w:pPr>
      <w:r>
        <w:rPr>
          <w:b/>
        </w:rPr>
        <w:t>2. Según Comte, el estado teológico se caracteriza por:</w:t>
      </w:r>
    </w:p>
    <w:p>
      <w:pPr>
        <w:spacing w:after="40"/>
        <w:ind w:left="360"/>
      </w:pPr>
      <w:r>
        <w:t>a) Experimentación científica      b) Explicaciones por fuerzas divinas      c) Causas económicas      d) Burocracia moderna</w:t>
      </w:r>
    </w:p>
    <w:p>
      <w:pPr>
        <w:spacing w:before="60" w:after="40"/>
      </w:pPr>
      <w:r>
        <w:rPr>
          <w:b/>
        </w:rPr>
        <w:t>3. En el estado positivo, el conocimiento se basa en:</w:t>
      </w:r>
    </w:p>
    <w:p>
      <w:pPr>
        <w:spacing w:after="40"/>
        <w:ind w:left="360"/>
      </w:pPr>
      <w:r>
        <w:t>a) Revelación divina      b) Especulación abstracta      c) Observación y método científico      d) Costumbres tradicionales</w:t>
      </w:r>
    </w:p>
    <w:p>
      <w:pPr>
        <w:spacing w:before="60" w:after="40"/>
      </w:pPr>
      <w:r>
        <w:rPr>
          <w:b/>
        </w:rPr>
        <w:t>4. Para Durkheim, un “hecho social” es:</w:t>
      </w:r>
    </w:p>
    <w:p>
      <w:pPr>
        <w:spacing w:after="40"/>
        <w:ind w:left="360"/>
      </w:pPr>
      <w:r>
        <w:t>a) Un sentimiento individual      b) Una norma externa que ejerce coerción      c) Una preferencia personal      d) Una opinión subjetiva</w:t>
      </w:r>
    </w:p>
    <w:p>
      <w:pPr>
        <w:spacing w:before="60" w:after="40"/>
      </w:pPr>
      <w:r>
        <w:rPr>
          <w:b/>
        </w:rPr>
        <w:t>5. La solidaridad mecánica se vincula con sociedades:</w:t>
      </w:r>
    </w:p>
    <w:p>
      <w:pPr>
        <w:spacing w:after="40"/>
        <w:ind w:left="360"/>
      </w:pPr>
      <w:r>
        <w:t>a) Industriales y modernas      b) Simples y tradicionales homogéneas      c) Sin normas sociales      d) Basadas solo en contratos</w:t>
      </w:r>
    </w:p>
    <w:p>
      <w:pPr>
        <w:spacing w:before="60" w:after="40"/>
      </w:pPr>
      <w:r>
        <w:rPr>
          <w:b/>
        </w:rPr>
        <w:t>6. La solidaridad orgánica se relaciona principalmente con:</w:t>
      </w:r>
    </w:p>
    <w:p>
      <w:pPr>
        <w:spacing w:after="40"/>
        <w:ind w:left="360"/>
      </w:pPr>
      <w:r>
        <w:t>a) Poca especialización laboral      b) Diferenciación de funciones e interdependencia      c) Ausencia de normas      d) Sociedades tribales</w:t>
      </w:r>
    </w:p>
    <w:p>
      <w:pPr>
        <w:spacing w:before="60" w:after="40"/>
      </w:pPr>
      <w:r>
        <w:rPr>
          <w:b/>
        </w:rPr>
        <w:t>7. Para Weber, la “acción social” es:</w:t>
      </w:r>
    </w:p>
    <w:p>
      <w:pPr>
        <w:spacing w:after="40"/>
        <w:ind w:left="360"/>
      </w:pPr>
      <w:r>
        <w:t>a) Un acto biológico reflejo      b) Una conducta con sentido subjetivo orientada a otros      c) Un movimiento instintivo      d) Un hecho puramente natural</w:t>
      </w:r>
    </w:p>
    <w:p>
      <w:pPr>
        <w:spacing w:before="60" w:after="40"/>
      </w:pPr>
      <w:r>
        <w:rPr>
          <w:b/>
        </w:rPr>
        <w:t>8. La racionalidad formal en Weber se observa típicamente en:</w:t>
      </w:r>
    </w:p>
    <w:p>
      <w:pPr>
        <w:spacing w:after="40"/>
        <w:ind w:left="360"/>
      </w:pPr>
      <w:r>
        <w:t>a) Rituales tradicionales      b) Organizaciones burocráticas reglamentadas      c) Relaciones afectivas      d) Actos artísticos libres</w:t>
      </w:r>
    </w:p>
    <w:p>
      <w:pPr>
        <w:spacing w:before="60" w:after="40"/>
      </w:pPr>
      <w:r>
        <w:rPr>
          <w:b/>
        </w:rPr>
        <w:t>9. Para Marx, la estructura económica de la sociedad:</w:t>
      </w:r>
    </w:p>
    <w:p>
      <w:pPr>
        <w:spacing w:after="40"/>
        <w:ind w:left="360"/>
      </w:pPr>
      <w:r>
        <w:t>a) No influye en las leyes      b) Determina la superestructura política y cultural      c) Es totalmente independiente      d) Solo influye en el agro</w:t>
      </w:r>
    </w:p>
    <w:p>
      <w:pPr>
        <w:spacing w:before="60" w:after="40"/>
      </w:pPr>
      <w:r>
        <w:rPr>
          <w:b/>
        </w:rPr>
        <w:t>10. El concepto de “anomia” en Durkheim se refiere a:</w:t>
      </w:r>
    </w:p>
    <w:p>
      <w:pPr>
        <w:spacing w:after="40"/>
        <w:ind w:left="360"/>
      </w:pPr>
      <w:r>
        <w:t>a) Ausencia de leyes físicas      b) Debilidad o falta de normas sociales claras      c) Exceso de moral religiosa      d) Orden social estricto</w:t>
      </w:r>
    </w:p>
    <w:p>
      <w:pPr>
        <w:pStyle w:val="Heading1"/>
        <w:spacing w:before="240" w:after="120"/>
      </w:pPr>
      <w:r>
        <w:t>II. CUADRO COMPARATIVO (10 Puntos)</w:t>
      </w:r>
    </w:p>
    <w:p>
      <w:pPr>
        <w:spacing w:after="80"/>
      </w:pPr>
      <w:r>
        <w:rPr>
          <w:i/>
          <w:sz w:val="17"/>
        </w:rPr>
        <w:t>Instrucciones: Complete el cuadro comparativo señalando dos semejanzas, dos diferencias y un ejemplo práctico actual para cada tipo de solidaridad de Émile Durkheim.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744"/>
        <w:gridCol w:w="3744"/>
      </w:tblGrid>
      <w:tr>
        <w:tc>
          <w:tcPr>
            <w:tcW w:type="dxa" w:w="3360"/>
            <w:shd w:fill="047857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360"/>
            <w:shd w:fill="047857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Solidaridad Mecánica</w:t>
            </w:r>
          </w:p>
        </w:tc>
        <w:tc>
          <w:tcPr>
            <w:tcW w:type="dxa" w:w="3360"/>
            <w:shd w:fill="047857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Solidaridad Orgánica</w:t>
            </w:r>
          </w:p>
        </w:tc>
      </w:tr>
      <w:tr>
        <w:tc>
          <w:tcPr>
            <w:tcW w:type="dxa" w:w="3360"/>
            <w:shd w:fill="F2F2F2"/>
            <w:tcMar>
              <w:top w:w="120" w:type="dxa"/>
              <w:bottom w:w="120" w:type="dxa"/>
              <w:left w:w="60" w:type="dxa"/>
              <w:right w:w="6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r>
              <w:rPr>
                <w:b/>
                <w:sz w:val="17"/>
              </w:rPr>
              <w:t>Semejanzas (Indicar 2)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40" w:line="276" w:lineRule="auto"/>
            </w:pPr>
            <w:r>
              <w:br/>
              <w:br/>
              <w:br/>
              <w:br/>
            </w:r>
          </w:p>
        </w:tc>
        <w:tc>
          <w:tcPr>
            <w:tcW w:type="dxa" w:w="336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40" w:line="276" w:lineRule="auto"/>
            </w:pPr>
            <w:r>
              <w:br/>
              <w:br/>
              <w:br/>
              <w:br/>
            </w:r>
          </w:p>
        </w:tc>
      </w:tr>
      <w:tr>
        <w:tc>
          <w:tcPr>
            <w:tcW w:type="dxa" w:w="3360"/>
            <w:shd w:fill="F2F2F2"/>
            <w:tcMar>
              <w:top w:w="120" w:type="dxa"/>
              <w:bottom w:w="120" w:type="dxa"/>
              <w:left w:w="60" w:type="dxa"/>
              <w:right w:w="6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r>
              <w:rPr>
                <w:b/>
                <w:sz w:val="17"/>
              </w:rPr>
              <w:t>Diferencias (Indicar 2)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40" w:line="276" w:lineRule="auto"/>
            </w:pPr>
            <w:r>
              <w:br/>
              <w:br/>
              <w:br/>
              <w:br/>
            </w:r>
          </w:p>
        </w:tc>
        <w:tc>
          <w:tcPr>
            <w:tcW w:type="dxa" w:w="336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40" w:line="276" w:lineRule="auto"/>
            </w:pPr>
            <w:r>
              <w:br/>
              <w:br/>
              <w:br/>
              <w:br/>
            </w:r>
          </w:p>
        </w:tc>
      </w:tr>
      <w:tr>
        <w:tc>
          <w:tcPr>
            <w:tcW w:type="dxa" w:w="3360"/>
            <w:shd w:fill="F2F2F2"/>
            <w:tcMar>
              <w:top w:w="120" w:type="dxa"/>
              <w:bottom w:w="120" w:type="dxa"/>
              <w:left w:w="60" w:type="dxa"/>
              <w:right w:w="6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r>
              <w:rPr>
                <w:b/>
                <w:sz w:val="17"/>
              </w:rPr>
              <w:t>Ejemplo Práctico Actual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40" w:line="276" w:lineRule="auto"/>
            </w:pPr>
            <w:r>
              <w:br/>
              <w:br/>
              <w:br/>
              <w:br/>
            </w:r>
          </w:p>
        </w:tc>
        <w:tc>
          <w:tcPr>
            <w:tcW w:type="dxa" w:w="336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40" w:line="276" w:lineRule="auto"/>
            </w:pPr>
            <w:r>
              <w:br/>
              <w:br/>
              <w:br/>
              <w:br/>
            </w:r>
          </w:p>
        </w:tc>
      </w:tr>
    </w:tbl>
    <w:p>
      <w:pPr>
        <w:pStyle w:val="Heading1"/>
        <w:spacing w:before="240" w:after="120"/>
      </w:pPr>
      <w:r>
        <w:t>III. VERDADERO O FALSO CON COMENTARIO BREVE (5 Puntos - 1 pt. c/u)</w:t>
      </w:r>
    </w:p>
    <w:p>
      <w:pPr>
        <w:spacing w:before="60" w:after="40"/>
      </w:pPr>
      <w:r>
        <w:rPr>
          <w:b/>
          <w:sz w:val="19"/>
        </w:rPr>
        <w:t>1. (   ) Para Comte, el estado positivo exige abandonar las explicaciones místicas y basarse en la ciencia.</w:t>
      </w:r>
    </w:p>
    <w:p>
      <w:pPr>
        <w:spacing w:after="120"/>
        <w:ind w:left="432"/>
      </w:pPr>
      <w:r>
        <w:rPr>
          <w:i/>
          <w:sz w:val="18"/>
        </w:rPr>
        <w:t xml:space="preserve">Comentario: </w:t>
      </w:r>
      <w:r>
        <w:rPr>
          <w:sz w:val="18"/>
        </w:rPr>
        <w:t>__________________________________________________________________________________</w:t>
      </w:r>
    </w:p>
    <w:p>
      <w:pPr>
        <w:spacing w:before="60" w:after="40"/>
      </w:pPr>
      <w:r>
        <w:rPr>
          <w:b/>
          <w:sz w:val="19"/>
        </w:rPr>
        <w:t>2. (   ) Para Durkheim, los hechos sociales son externos y ejercen fuerza colectiva coercitiva sobre el individuo.</w:t>
      </w:r>
    </w:p>
    <w:p>
      <w:pPr>
        <w:spacing w:after="120"/>
        <w:ind w:left="432"/>
      </w:pPr>
      <w:r>
        <w:rPr>
          <w:i/>
          <w:sz w:val="18"/>
        </w:rPr>
        <w:t xml:space="preserve">Comentario: </w:t>
      </w:r>
      <w:r>
        <w:rPr>
          <w:sz w:val="18"/>
        </w:rPr>
        <w:t>__________________________________________________________________________________</w:t>
      </w:r>
    </w:p>
    <w:p>
      <w:pPr>
        <w:spacing w:before="60" w:after="40"/>
      </w:pPr>
      <w:r>
        <w:rPr>
          <w:b/>
          <w:sz w:val="19"/>
        </w:rPr>
        <w:t>3. (   ) Según Weber, la acción social siempre se orienta por reglamentos escritos y formales.</w:t>
      </w:r>
    </w:p>
    <w:p>
      <w:pPr>
        <w:spacing w:after="120"/>
        <w:ind w:left="432"/>
      </w:pPr>
      <w:r>
        <w:rPr>
          <w:i/>
          <w:sz w:val="18"/>
        </w:rPr>
        <w:t xml:space="preserve">Comentario: </w:t>
      </w:r>
      <w:r>
        <w:rPr>
          <w:sz w:val="18"/>
        </w:rPr>
        <w:t>__________________________________________________________________________________</w:t>
      </w:r>
    </w:p>
    <w:p>
      <w:pPr>
        <w:spacing w:before="60" w:after="40"/>
      </w:pPr>
      <w:r>
        <w:rPr>
          <w:b/>
          <w:sz w:val="19"/>
        </w:rPr>
        <w:t>4. (   ) Para Marx, la lucha de clases y los factores económicos son el motor del cambio histórico.</w:t>
      </w:r>
    </w:p>
    <w:p>
      <w:pPr>
        <w:spacing w:after="120"/>
        <w:ind w:left="432"/>
      </w:pPr>
      <w:r>
        <w:rPr>
          <w:i/>
          <w:sz w:val="18"/>
        </w:rPr>
        <w:t xml:space="preserve">Comentario: </w:t>
      </w:r>
      <w:r>
        <w:rPr>
          <w:sz w:val="18"/>
        </w:rPr>
        <w:t>__________________________________________________________________________________</w:t>
      </w:r>
    </w:p>
    <w:p>
      <w:pPr>
        <w:spacing w:before="60" w:after="40"/>
      </w:pPr>
      <w:r>
        <w:rPr>
          <w:b/>
          <w:sz w:val="19"/>
        </w:rPr>
        <w:t>5. (   ) La anomia es un estado donde las reglas sociales pierden fuerza o se vuelven confusas.</w:t>
      </w:r>
    </w:p>
    <w:p>
      <w:pPr>
        <w:spacing w:after="120"/>
        <w:ind w:left="432"/>
      </w:pPr>
      <w:r>
        <w:rPr>
          <w:i/>
          <w:sz w:val="18"/>
        </w:rPr>
        <w:t xml:space="preserve">Comentario: </w:t>
      </w:r>
      <w:r>
        <w:rPr>
          <w:sz w:val="18"/>
        </w:rPr>
        <w:t>__________________________________________________________________________________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47857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