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ind w:firstLine="720"/>
        <w:jc w:val="center"/>
      </w:pPr>
      <w:r>
        <w:rPr>
          <w:rFonts w:ascii="Times New Roman" w:hAnsi="Times New Roman"/>
          <w:sz w:val="24"/>
        </w:rPr>
        <w:drawing>
          <wp:inline xmlns:a="http://schemas.openxmlformats.org/drawingml/2006/main" xmlns:pic="http://schemas.openxmlformats.org/drawingml/2006/picture">
            <wp:extent cx="1371600" cy="1306955"/>
            <wp:docPr id="1001" name="Picture 1"/>
            <wp:cNvGraphicFramePr>
              <a:graphicFrameLocks noChangeAspect="1"/>
            </wp:cNvGraphicFramePr>
            <a:graphic>
              <a:graphicData uri="http://schemas.openxmlformats.org/drawingml/2006/picture">
                <pic:pic>
                  <pic:nvPicPr>
                    <pic:cNvPr id="0" name="Logo Centuria.png"/>
                    <pic:cNvPicPr/>
                  </pic:nvPicPr>
                  <pic:blipFill>
                    <a:blip r:embed="rId9"/>
                    <a:stretch>
                      <a:fillRect/>
                    </a:stretch>
                  </pic:blipFill>
                  <pic:spPr>
                    <a:xfrm>
                      <a:off x="0" y="0"/>
                      <a:ext cx="1371600" cy="1306955"/>
                    </a:xfrm>
                    <a:prstGeom prst="rect"/>
                  </pic:spPr>
                </pic:pic>
              </a:graphicData>
            </a:graphic>
          </wp:inline>
        </w:drawing>
      </w:r>
    </w:p>
    <w:p>
      <w:pPr>
        <w:spacing w:after="0" w:line="480" w:lineRule="auto"/>
        <w:ind w:firstLine="720"/>
        <w:jc w:val="center"/>
      </w:pPr>
      <w:r>
        <w:rPr>
          <w:rFonts w:ascii="Arial" w:hAnsi="Arial"/>
          <w:b/>
          <w:sz w:val="24"/>
        </w:rPr>
        <w:t>INSTITUTO SUPERIOR EN CIENCIAS EMPRESARIALES</w:t>
      </w:r>
    </w:p>
    <w:p>
      <w:pPr>
        <w:spacing w:after="240" w:line="480" w:lineRule="auto"/>
        <w:ind w:firstLine="720"/>
        <w:jc w:val="center"/>
      </w:pPr>
      <w:r>
        <w:rPr>
          <w:rFonts w:ascii="Arial" w:hAnsi="Arial"/>
          <w:b/>
          <w:sz w:val="26"/>
        </w:rPr>
        <w:t>"CENTURIA"</w:t>
      </w:r>
    </w:p>
    <w:p>
      <w:pPr>
        <w:spacing w:after="240" w:line="480" w:lineRule="auto"/>
        <w:ind w:firstLine="720"/>
        <w:jc w:val="center"/>
      </w:pPr>
      <w:r>
        <w:rPr>
          <w:rFonts w:ascii="Arial" w:hAnsi="Arial"/>
          <w:b/>
          <w:sz w:val="56"/>
        </w:rPr>
        <w:t>TRABAJO DE</w:t>
        <w:br/>
        <w:t>INVESTIGACION</w:t>
        <w:br/>
        <w:t>MONOGRAFIA</w:t>
      </w:r>
    </w:p>
    <w:tbl>
      <w:tblPr>
        <w:tblW w:type="auto" w:w="0"/>
        <w:tblLayout w:type="fixed"/>
        <w:tblLook w:firstColumn="1" w:firstRow="1" w:lastColumn="0" w:lastRow="0" w:noHBand="0" w:noVBand="1" w:val="04A0"/>
      </w:tblPr>
      <w:tblGrid>
        <w:gridCol w:w="2592"/>
        <w:gridCol w:w="288"/>
        <w:gridCol w:w="5760"/>
      </w:tblGrid>
      <w:tr>
        <w:tc>
          <w:tcPr>
            <w:tcW w:type="dxa" w:w="3009"/>
            <w:tcBorders>
              <w:bottom w:sz="8" w:val="single" w:color="000000"/>
            </w:tcBorders>
          </w:tcPr>
          <w:p>
            <w:pPr>
              <w:spacing w:after="40"/>
              <w:jc w:val="left"/>
            </w:pPr>
            <w:r>
              <w:rPr>
                <w:rFonts w:ascii="Arial" w:hAnsi="Arial"/>
                <w:b/>
                <w:sz w:val="20"/>
              </w:rPr>
              <w:t>MATERIA</w:t>
            </w:r>
          </w:p>
        </w:tc>
        <w:tc>
          <w:tcPr>
            <w:tcW w:type="dxa" w:w="3009"/>
            <w:tcBorders>
              <w:bottom w:sz="8" w:val="single" w:color="000000"/>
            </w:tcBorders>
          </w:tcPr>
          <w:p>
            <w:pPr>
              <w:spacing w:after="40"/>
              <w:jc w:val="center"/>
            </w:pPr>
            <w:r>
              <w:rPr>
                <w:rFonts w:ascii="Arial" w:hAnsi="Arial"/>
                <w:b/>
                <w:sz w:val="20"/>
              </w:rPr>
              <w:t>:</w:t>
            </w:r>
          </w:p>
        </w:tc>
        <w:tc>
          <w:tcPr>
            <w:tcW w:type="dxa" w:w="3009"/>
            <w:tcBorders>
              <w:bottom w:sz="8" w:val="single" w:color="000000"/>
            </w:tcBorders>
          </w:tcPr>
          <w:p>
            <w:pPr>
              <w:spacing w:after="40"/>
              <w:jc w:val="left"/>
            </w:pPr>
            <w:r>
              <w:rPr>
                <w:rFonts w:ascii="Arial" w:hAnsi="Arial"/>
                <w:sz w:val="20"/>
              </w:rPr>
              <w:t xml:space="preserve">GESTIÓN Y AUDITORÍA FINANCIERA DEL IMPUESTO INMOBILIARIO MUNICIPAL</w:t>
            </w:r>
          </w:p>
        </w:tc>
        <w:trPr>
          <w:trHeight w:val="450" w:hRule="exact"/>
        </w:trPr>
      </w:tr>
      <w:tr>
        <w:tc>
          <w:tcPr>
            <w:tcW w:type="dxa" w:w="3009"/>
            <w:tcBorders>
              <w:bottom w:sz="8" w:val="single" w:color="000000"/>
            </w:tcBorders>
          </w:tcPr>
          <w:p>
            <w:pPr>
              <w:spacing w:after="40"/>
              <w:jc w:val="left"/>
            </w:pPr>
            <w:r>
              <w:rPr>
                <w:rFonts w:ascii="Arial" w:hAnsi="Arial"/>
                <w:b/>
                <w:sz w:val="20"/>
              </w:rPr>
              <w:t>DOCENTE</w:t>
            </w:r>
          </w:p>
        </w:tc>
        <w:tc>
          <w:tcPr>
            <w:tcW w:type="dxa" w:w="3009"/>
            <w:tcBorders>
              <w:bottom w:sz="8" w:val="single" w:color="000000"/>
            </w:tcBorders>
          </w:tcPr>
          <w:p>
            <w:pPr>
              <w:spacing w:after="40"/>
              <w:jc w:val="center"/>
            </w:pPr>
            <w:r>
              <w:rPr>
                <w:rFonts w:ascii="Arial" w:hAnsi="Arial"/>
                <w:b/>
                <w:sz w:val="20"/>
              </w:rPr>
              <w:t>:</w:t>
            </w:r>
          </w:p>
        </w:tc>
        <w:tc>
          <w:tcPr>
            <w:tcW w:type="dxa" w:w="3009"/>
            <w:tcBorders>
              <w:bottom w:sz="8" w:val="single" w:color="000000"/>
            </w:tcBorders>
          </w:tcPr>
          <w:p>
            <w:pPr>
              <w:spacing w:after="40"/>
              <w:jc w:val="left"/>
            </w:pPr>
            <w:r>
              <w:rPr>
                <w:rFonts w:ascii="Arial" w:hAnsi="Arial"/>
                <w:sz w:val="20"/>
              </w:rPr>
              <w:t xml:space="preserve">C.P Mg JUAN CARLOS MONTIEL</w:t>
            </w:r>
          </w:p>
        </w:tc>
        <w:trPr>
          <w:trHeight w:val="450" w:hRule="exact"/>
        </w:trPr>
      </w:tr>
      <w:tr>
        <w:tc>
          <w:tcPr>
            <w:tcW w:type="dxa" w:w="3009"/>
            <w:tcBorders>
              <w:bottom w:sz="8" w:val="single" w:color="000000"/>
            </w:tcBorders>
          </w:tcPr>
          <w:p>
            <w:pPr>
              <w:spacing w:after="40"/>
              <w:jc w:val="left"/>
            </w:pPr>
            <w:r>
              <w:rPr>
                <w:rFonts w:ascii="Arial" w:hAnsi="Arial"/>
                <w:b/>
                <w:sz w:val="20"/>
              </w:rPr>
              <w:t>ALUMNO</w:t>
            </w:r>
          </w:p>
        </w:tc>
        <w:tc>
          <w:tcPr>
            <w:tcW w:type="dxa" w:w="3009"/>
            <w:tcBorders>
              <w:bottom w:sz="8" w:val="single" w:color="000000"/>
            </w:tcBorders>
          </w:tcPr>
          <w:p>
            <w:pPr>
              <w:spacing w:after="40"/>
              <w:jc w:val="center"/>
            </w:pPr>
            <w:r>
              <w:rPr>
                <w:rFonts w:ascii="Arial" w:hAnsi="Arial"/>
                <w:b/>
                <w:sz w:val="20"/>
              </w:rPr>
              <w:t>:</w:t>
            </w:r>
          </w:p>
        </w:tc>
        <w:tc>
          <w:tcPr>
            <w:tcW w:type="dxa" w:w="3009"/>
            <w:tcBorders>
              <w:bottom w:sz="8" w:val="single" w:color="000000"/>
            </w:tcBorders>
          </w:tcPr>
          <w:p>
            <w:pPr>
              <w:spacing w:after="40"/>
              <w:jc w:val="left"/>
            </w:pPr>
            <w:r>
              <w:rPr>
                <w:rFonts w:ascii="Arial" w:hAnsi="Arial"/>
                <w:sz w:val="20"/>
              </w:rPr>
              <w:t xml:space="preserve">Lic. Christhian Jose Raul Keim</w:t>
            </w:r>
          </w:p>
        </w:tc>
        <w:trPr>
          <w:trHeight w:val="450" w:hRule="exact"/>
        </w:trPr>
      </w:tr>
      <w:tr>
        <w:tc>
          <w:tcPr>
            <w:tcW w:type="dxa" w:w="3009"/>
            <w:tcBorders>
              <w:bottom w:sz="8" w:val="single" w:color="000000"/>
            </w:tcBorders>
          </w:tcPr>
          <w:p>
            <w:pPr>
              <w:spacing w:after="40"/>
              <w:jc w:val="left"/>
            </w:pPr>
            <w:r>
              <w:rPr>
                <w:rFonts w:ascii="Arial" w:hAnsi="Arial"/>
                <w:b/>
                <w:sz w:val="20"/>
              </w:rPr>
              <w:t>CEDULA DE IDENTIDAD N</w:t>
            </w:r>
          </w:p>
        </w:tc>
        <w:tc>
          <w:tcPr>
            <w:tcW w:type="dxa" w:w="3009"/>
            <w:tcBorders>
              <w:bottom w:sz="8" w:val="single" w:color="000000"/>
            </w:tcBorders>
          </w:tcPr>
          <w:p>
            <w:pPr>
              <w:spacing w:after="40"/>
              <w:jc w:val="center"/>
            </w:pPr>
            <w:r>
              <w:rPr>
                <w:rFonts w:ascii="Arial" w:hAnsi="Arial"/>
                <w:b/>
                <w:sz w:val="20"/>
              </w:rPr>
              <w:t>:</w:t>
            </w:r>
          </w:p>
        </w:tc>
        <w:tc>
          <w:tcPr>
            <w:tcW w:type="dxa" w:w="3009"/>
            <w:tcBorders>
              <w:bottom w:sz="8" w:val="single" w:color="000000"/>
            </w:tcBorders>
          </w:tcPr>
          <w:p>
            <w:pPr>
              <w:spacing w:after="40"/>
              <w:jc w:val="left"/>
            </w:pPr>
            <w:r>
              <w:rPr>
                <w:rFonts w:ascii="Arial" w:hAnsi="Arial"/>
                <w:sz w:val="20"/>
              </w:rPr>
              <w:t xml:space="preserve">1.340.130</w:t>
            </w:r>
          </w:p>
        </w:tc>
        <w:trPr>
          <w:trHeight w:val="450" w:hRule="exact"/>
        </w:trPr>
      </w:tr>
      <w:tr>
        <w:tc>
          <w:tcPr>
            <w:tcW w:type="dxa" w:w="3009"/>
            <w:tcBorders>
              <w:bottom w:sz="8" w:val="single" w:color="000000"/>
            </w:tcBorders>
          </w:tcPr>
          <w:p>
            <w:pPr>
              <w:spacing w:after="40"/>
              <w:jc w:val="left"/>
            </w:pPr>
            <w:r>
              <w:rPr>
                <w:rFonts w:ascii="Arial" w:hAnsi="Arial"/>
                <w:b/>
                <w:sz w:val="20"/>
              </w:rPr>
              <w:t>CARRERA</w:t>
            </w:r>
          </w:p>
        </w:tc>
        <w:tc>
          <w:tcPr>
            <w:tcW w:type="dxa" w:w="3009"/>
            <w:tcBorders>
              <w:bottom w:sz="8" w:val="single" w:color="000000"/>
            </w:tcBorders>
          </w:tcPr>
          <w:p>
            <w:pPr>
              <w:spacing w:after="40"/>
              <w:jc w:val="center"/>
            </w:pPr>
            <w:r>
              <w:rPr>
                <w:rFonts w:ascii="Arial" w:hAnsi="Arial"/>
                <w:b/>
                <w:sz w:val="20"/>
              </w:rPr>
              <w:t>:</w:t>
            </w:r>
          </w:p>
        </w:tc>
        <w:tc>
          <w:tcPr>
            <w:tcW w:type="dxa" w:w="3009"/>
            <w:tcBorders>
              <w:bottom w:sz="8" w:val="single" w:color="000000"/>
            </w:tcBorders>
          </w:tcPr>
          <w:p>
            <w:pPr>
              <w:spacing w:after="40"/>
              <w:jc w:val="left"/>
            </w:pPr>
            <w:r>
              <w:rPr>
                <w:rFonts w:ascii="Arial" w:hAnsi="Arial"/>
                <w:sz w:val="20"/>
              </w:rPr>
              <w:t xml:space="preserve">Maestría en Gestión Pública</w:t>
            </w:r>
          </w:p>
        </w:tc>
        <w:trPr>
          <w:trHeight w:val="450" w:hRule="exact"/>
        </w:trPr>
      </w:tr>
      <w:tr>
        <w:tc>
          <w:tcPr>
            <w:tcW w:type="dxa" w:w="3009"/>
            <w:tcBorders>
              <w:bottom w:sz="8" w:val="single" w:color="000000"/>
            </w:tcBorders>
          </w:tcPr>
          <w:p>
            <w:pPr>
              <w:spacing w:after="40"/>
              <w:jc w:val="left"/>
            </w:pPr>
            <w:r>
              <w:rPr>
                <w:rFonts w:ascii="Arial" w:hAnsi="Arial"/>
                <w:b/>
                <w:sz w:val="20"/>
              </w:rPr>
              <w:t>SECCION / GRUPO</w:t>
            </w:r>
          </w:p>
        </w:tc>
        <w:tc>
          <w:tcPr>
            <w:tcW w:type="dxa" w:w="3009"/>
            <w:tcBorders>
              <w:bottom w:sz="8" w:val="single" w:color="000000"/>
            </w:tcBorders>
          </w:tcPr>
          <w:p>
            <w:pPr>
              <w:spacing w:after="40"/>
              <w:jc w:val="center"/>
            </w:pPr>
            <w:r>
              <w:rPr>
                <w:rFonts w:ascii="Arial" w:hAnsi="Arial"/>
                <w:b/>
                <w:sz w:val="20"/>
              </w:rPr>
              <w:t>:</w:t>
            </w:r>
          </w:p>
        </w:tc>
        <w:tc>
          <w:tcPr>
            <w:tcW w:type="dxa" w:w="3009"/>
            <w:tcBorders>
              <w:bottom w:sz="8" w:val="single" w:color="000000"/>
            </w:tcBorders>
          </w:tcPr>
          <w:p>
            <w:pPr>
              <w:spacing w:after="40"/>
              <w:jc w:val="left"/>
            </w:pPr>
            <w:r>
              <w:rPr>
                <w:rFonts w:ascii="Arial" w:hAnsi="Arial"/>
                <w:sz w:val="20"/>
              </w:rPr>
              <w:t xml:space="preserve">S.026</w:t>
            </w:r>
          </w:p>
        </w:tc>
        <w:trPr>
          <w:trHeight w:val="450" w:hRule="exact"/>
        </w:trPr>
      </w:tr>
    </w:tbl>
    <w:p>
      <w:pPr>
        <w:spacing w:before="240" w:line="480" w:lineRule="auto"/>
        <w:ind w:firstLine="720"/>
        <w:jc w:val="center"/>
      </w:pPr>
      <w:r>
        <w:rPr>
          <w:rFonts w:ascii="Arial" w:hAnsi="Arial"/>
          <w:b/>
          <w:sz w:val="24"/>
        </w:rPr>
        <w:t>DATOS PARA USO INTERNO</w:t>
      </w:r>
    </w:p>
    <w:tbl>
      <w:tblPr>
        <w:tblStyle w:val="TableGrid"/>
        <w:tblW w:type="auto" w:w="0"/>
        <w:tblLook w:firstColumn="1" w:firstRow="1" w:lastColumn="0" w:lastRow="0" w:noHBand="0" w:noVBand="1" w:val="04A0"/>
      </w:tblPr>
      <w:tblGrid>
        <w:gridCol w:w="3009"/>
        <w:gridCol w:w="3009"/>
        <w:gridCol w:w="3009"/>
      </w:tblGrid>
      <w:tr>
        <w:trPr>
          <w:trHeight w:val="288"/>
        </w:trPr>
        <w:tc>
          <w:tcPr>
            <w:tcW w:type="dxa" w:w="3009"/>
          </w:tcPr>
          <w:p>
            <w:pPr>
              <w:jc w:val="center"/>
            </w:pPr>
            <w:r>
              <w:rPr>
                <w:rFonts w:ascii="Arial" w:hAnsi="Arial"/>
                <w:b/>
                <w:sz w:val="18"/>
              </w:rPr>
              <w:t>ADMINISTRACION</w:t>
            </w:r>
          </w:p>
        </w:tc>
        <w:tc>
          <w:tcPr>
            <w:tcW w:type="dxa" w:w="3009"/>
          </w:tcPr>
          <w:p>
            <w:pPr>
              <w:jc w:val="center"/>
            </w:pPr>
            <w:r>
              <w:rPr>
                <w:rFonts w:ascii="Arial" w:hAnsi="Arial"/>
                <w:b/>
                <w:sz w:val="18"/>
              </w:rPr>
              <w:t>COORDINACION</w:t>
            </w:r>
          </w:p>
        </w:tc>
        <w:tc>
          <w:tcPr>
            <w:tcW w:type="dxa" w:w="3009"/>
          </w:tcPr>
          <w:p>
            <w:pPr>
              <w:jc w:val="center"/>
            </w:pPr>
            <w:r>
              <w:rPr>
                <w:rFonts w:ascii="Arial" w:hAnsi="Arial"/>
                <w:b/>
                <w:sz w:val="18"/>
              </w:rPr>
              <w:t>DOCENTE</w:t>
            </w:r>
          </w:p>
        </w:tc>
      </w:tr>
      <w:tr>
        <w:trPr>
          <w:trHeight w:val="864"/>
        </w:trPr>
        <w:tc>
          <w:tcPr>
            <w:tcW w:type="dxa" w:w="3009"/>
          </w:tcPr>
          <w:p>
            <w:pPr>
              <w:jc w:val="center"/>
            </w:pPr>
            <w:r>
              <w:rPr>
                <w:rFonts w:ascii="Arial" w:hAnsi="Arial"/>
                <w:color w:val="646464"/>
                <w:sz w:val="16"/>
              </w:rPr>
              <w:br/>
              <w:br/>
              <w:t>FIRMA Y SELLO</w:t>
            </w:r>
          </w:p>
        </w:tc>
        <w:tc>
          <w:tcPr>
            <w:tcW w:type="dxa" w:w="3009"/>
          </w:tcPr>
          <w:p>
            <w:pPr>
              <w:jc w:val="center"/>
            </w:pPr>
            <w:r>
              <w:rPr>
                <w:rFonts w:ascii="Arial" w:hAnsi="Arial"/>
                <w:color w:val="646464"/>
                <w:sz w:val="16"/>
              </w:rPr>
              <w:br/>
              <w:br/>
              <w:t>FIRMA Y SELLO</w:t>
            </w:r>
          </w:p>
        </w:tc>
        <w:tc>
          <w:tcPr>
            <w:tcW w:type="dxa" w:w="3009"/>
          </w:tcPr>
          <w:p>
            <w:pPr>
              <w:jc w:val="center"/>
            </w:pPr>
            <w:r>
              <w:rPr>
                <w:rFonts w:ascii="Arial" w:hAnsi="Arial"/>
                <w:color w:val="646464"/>
                <w:sz w:val="16"/>
              </w:rPr>
              <w:br/>
              <w:br/>
              <w:t>FIRMA Y SELLO</w:t>
            </w:r>
          </w:p>
        </w:tc>
      </w:tr>
    </w:tbl>
    <w:tbl>
      <w:tblPr>
        <w:tblStyle w:val="TableGrid"/>
        <w:tblW w:type="auto" w:w="0"/>
        <w:tblLook w:firstColumn="1" w:firstRow="1" w:lastColumn="0" w:lastRow="0" w:noHBand="0" w:noVBand="1" w:val="04A0"/>
      </w:tblPr>
      <w:tblGrid>
        <w:gridCol w:w="6480"/>
        <w:gridCol w:w="2160"/>
      </w:tblGrid>
      <w:tr>
        <w:tc>
          <w:tcPr>
            <w:tcW w:type="dxa" w:w="4513"/>
          </w:tcPr>
          <w:p>
            <w:r>
              <w:rPr>
                <w:rFonts w:ascii="Arial" w:hAnsi="Arial"/>
                <w:b/>
                <w:sz w:val="18"/>
              </w:rPr>
              <w:t>COMPROBANTE DE INGRESO N:</w:t>
            </w:r>
          </w:p>
        </w:tc>
        <w:tc>
          <w:tcPr>
            <w:tcW w:type="dxa" w:w="4513"/>
          </w:tcPr>
          <w:p>
            <w:r>
              <w:rPr>
                <w:rFonts w:ascii="Arial" w:hAnsi="Arial"/>
                <w:b/>
                <w:sz w:val="18"/>
              </w:rPr>
              <w:t>FECHA:</w:t>
            </w:r>
          </w:p>
        </w:tc>
      </w:tr>
    </w:tbl>
    <w:p>
      <w:pPr>
        <w:spacing w:line="480" w:lineRule="auto"/>
        <w:ind w:firstLine="720"/>
      </w:pPr>
      <w:r>
        <w:rPr>
          <w:rFonts w:ascii="Times New Roman" w:hAnsi="Times New Roman"/>
          <w:sz w:val="24"/>
        </w:rPr>
        <w:br w:type="page"/>
      </w:r>
    </w:p>
    <w:p>
      <w:pPr>
        <w:sectPr>
          <w:pgSz w:w="11906" w:h="16838"/>
          <w:pgMar w:top="1440" w:right="1728" w:bottom="1440" w:left="1728" w:header="720" w:footer="720" w:gutter="0"/>
          <w:cols w:space="720"/>
          <w:docGrid w:linePitch="360"/>
        </w:sectPr>
      </w:pPr>
    </w:p>
    <w:p>
      <w:pPr>
        <w:spacing w:line="480" w:lineRule="auto"/>
        <w:ind w:firstLine="720"/>
        <w:jc w:val="center"/>
      </w:pPr>
      <w:r>
        <w:rPr>
          <w:rFonts w:ascii="Times New Roman" w:hAnsi="Times New Roman"/>
          <w:b/>
          <w:sz w:val="24"/>
        </w:rPr>
        <w:t>INDICE GENERAL</w:t>
      </w:r>
    </w:p>
    <w:p>
      <w:pPr>
        <w:spacing w:line="480" w:lineRule="auto"/>
        <w:ind w:firstLine="720"/>
      </w:pPr>
      <w:r>
        <w:rPr>
          <w:rFonts w:ascii="Times New Roman" w:hAnsi="Times New Roman"/>
          <w:sz w:val="24"/>
        </w:rPr>
        <w:fldChar w:fldCharType="begin"/>
        <w:instrText xml:space="preserve">TOC \o "1-3" \h \z \u</w:instrText>
        <w:fldChar w:fldCharType="separate"/>
        <w:fldChar w:fldCharType="end"/>
      </w:r>
    </w:p>
    <w:p>
      <w:pPr>
        <w:spacing w:line="480" w:lineRule="auto"/>
        <w:ind w:firstLine="720"/>
      </w:pPr>
      <w:r>
        <w:rPr>
          <w:rFonts w:ascii="Times New Roman" w:hAnsi="Times New Roman"/>
          <w:sz w:val="24"/>
        </w:rPr>
        <w:br w:type="page"/>
      </w:r>
    </w:p>
    <w:p>
      <w:pPr>
        <w:spacing w:line="480" w:lineRule="auto"/>
        <w:ind w:firstLine="720"/>
        <w:jc w:val="center"/>
      </w:pPr>
      <w:r>
        <w:rPr>
          <w:rFonts w:ascii="Times New Roman" w:hAnsi="Times New Roman"/>
          <w:b/>
          <w:sz w:val="24"/>
        </w:rPr>
        <w:t>INDICE DE TABLAS</w:t>
      </w:r>
    </w:p>
    <w:p>
      <w:pPr>
        <w:spacing w:line="480" w:lineRule="auto"/>
        <w:ind w:firstLine="720"/>
      </w:pPr>
      <w:r>
        <w:rPr>
          <w:rFonts w:ascii="Times New Roman" w:hAnsi="Times New Roman"/>
          <w:sz w:val="24"/>
        </w:rPr>
        <w:fldChar w:fldCharType="begin"/>
        <w:instrText xml:space="preserve">TOC \h \z \c "Tabla"</w:instrText>
        <w:fldChar w:fldCharType="separate"/>
        <w:fldChar w:fldCharType="end"/>
      </w:r>
    </w:p>
    <w:p>
      <w:pPr>
        <w:spacing w:line="480" w:lineRule="auto"/>
        <w:ind w:firstLine="720"/>
      </w:pPr>
      <w:r>
        <w:rPr>
          <w:rFonts w:ascii="Times New Roman" w:hAnsi="Times New Roman"/>
          <w:sz w:val="24"/>
        </w:rPr>
        <w:br w:type="page"/>
      </w:r>
    </w:p>
    <w:p>
      <w:pPr>
        <w:spacing w:line="480" w:lineRule="auto"/>
        <w:ind w:firstLine="720"/>
        <w:jc w:val="center"/>
      </w:pPr>
      <w:r>
        <w:rPr>
          <w:rFonts w:ascii="Times New Roman" w:hAnsi="Times New Roman"/>
          <w:b/>
          <w:sz w:val="24"/>
        </w:rPr>
        <w:t>INDICE DE FIGURAS</w:t>
      </w:r>
    </w:p>
    <w:p>
      <w:pPr>
        <w:spacing w:line="480" w:lineRule="auto"/>
        <w:ind w:firstLine="720"/>
      </w:pPr>
      <w:r>
        <w:rPr>
          <w:rFonts w:ascii="Times New Roman" w:hAnsi="Times New Roman"/>
          <w:sz w:val="24"/>
        </w:rPr>
        <w:fldChar w:fldCharType="begin"/>
        <w:instrText xml:space="preserve">TOC \h \z \c "Figura"</w:instrText>
        <w:fldChar w:fldCharType="separate"/>
        <w:fldChar w:fldCharType="end"/>
      </w:r>
    </w:p>
    <w:p>
      <w:pPr>
        <w:spacing w:line="480" w:lineRule="auto"/>
        <w:ind w:firstLine="720"/>
      </w:pPr>
      <w:r>
        <w:rPr>
          <w:rFonts w:ascii="Times New Roman" w:hAnsi="Times New Roman"/>
          <w:sz w:val="24"/>
        </w:rPr>
        <w:br w:type="page"/>
      </w:r>
    </w:p>
    <w:p>
      <w:pPr>
        <w:spacing w:line="480" w:lineRule="auto"/>
        <w:ind w:firstLine="720"/>
      </w:pPr>
      <w:r>
        <w:rPr>
          <w:rFonts w:ascii="Times New Roman" w:hAnsi="Times New Roman"/>
          <w:sz w:val="24"/>
        </w:rPr>
        <w:t xml:space="preserve"/>
      </w:r>
    </w:p>
    <w:p>
      <w:pPr>
        <w:pStyle w:val="Heading1"/>
        <w:spacing w:line="480" w:lineRule="auto"/>
        <w:ind w:firstLine="720"/>
        <w:jc w:val="center"/>
      </w:pPr>
      <w:r>
        <w:rPr>
          <w:rFonts w:ascii="Times New Roman" w:hAnsi="Times New Roman"/>
          <w:b/>
          <w:sz w:val="24"/>
        </w:rPr>
        <w:t>RESUMEN</w:t>
      </w:r>
    </w:p>
    <w:p>
      <w:pPr>
        <w:spacing w:line="480" w:lineRule="auto"/>
        <w:ind w:firstLine="720"/>
        <w:jc w:val="left"/>
      </w:pPr>
      <w:r>
        <w:rPr>
          <w:rFonts w:ascii="Times New Roman" w:hAnsi="Times New Roman"/>
          <w:sz w:val="24"/>
        </w:rPr>
        <w:t>El presente trabajo investiga la gestión contable y financiera del Impuesto Inmobiliario en el Departamento de Catastro de la Municipalidad de Asunción. Se aborda la problemática de la desarticulación entre los registros de propiedades y el sistema central de contabilidad, lo cual ha generado altos índices de morosidad y distorsión en los estados financieros municipales. Mediante un estudio cualitativo, análisis documental y triangulación normativa, se determinó que la falta de integración tecnológica es la causa principal de la sub-ejecución presupuestaria y la evasión por fuga de información.</w:t>
      </w:r>
    </w:p>
    <w:p>
      <w:pPr>
        <w:pStyle w:val="Heading1"/>
        <w:spacing w:line="480" w:lineRule="auto"/>
        <w:ind w:firstLine="720"/>
        <w:jc w:val="center"/>
      </w:pPr>
      <w:r>
        <w:rPr>
          <w:rFonts w:ascii="Times New Roman" w:hAnsi="Times New Roman"/>
          <w:b/>
          <w:sz w:val="24"/>
        </w:rPr>
        <w:t>PALABRAS CLAVE</w:t>
      </w:r>
    </w:p>
    <w:p>
      <w:pPr>
        <w:spacing w:line="480" w:lineRule="auto"/>
        <w:ind w:firstLine="720"/>
        <w:jc w:val="left"/>
      </w:pPr>
      <w:r>
        <w:rPr>
          <w:rFonts w:ascii="Times New Roman" w:hAnsi="Times New Roman"/>
          <w:sz w:val="24"/>
        </w:rPr>
        <w:t>Catastro, Contabilidad Pública, Impuesto Inmobiliario, Morosidad, Integración tecnológica.</w:t>
      </w:r>
    </w:p>
    <w:p>
      <w:pPr>
        <w:pStyle w:val="Heading1"/>
        <w:spacing w:line="480" w:lineRule="auto"/>
        <w:ind w:firstLine="720"/>
        <w:jc w:val="center"/>
      </w:pPr>
      <w:r>
        <w:rPr>
          <w:rFonts w:ascii="Times New Roman" w:hAnsi="Times New Roman"/>
          <w:b/>
          <w:sz w:val="24"/>
        </w:rPr>
        <w:t>ABSTRACT</w:t>
      </w:r>
    </w:p>
    <w:p>
      <w:pPr>
        <w:spacing w:line="480" w:lineRule="auto"/>
        <w:ind w:firstLine="720"/>
        <w:jc w:val="left"/>
      </w:pPr>
      <w:r>
        <w:rPr>
          <w:rFonts w:ascii="Times New Roman" w:hAnsi="Times New Roman"/>
          <w:sz w:val="24"/>
        </w:rPr>
        <w:t>This research investigates accounting and financial management of the Real Estate Tax in the Cadastre Department of the Municipality of Asunción. It addresses the disconnection between property records and the central accounting system, which has generated high delinquency rates and distortion in municipal financial statements. Using qualitative documentary analysis and legal triangulation, it concludes that lack of technological integration is the main cause of budget under-execution and information leakage.</w:t>
      </w:r>
    </w:p>
    <w:p>
      <w:pPr>
        <w:pStyle w:val="Heading1"/>
        <w:spacing w:line="480" w:lineRule="auto"/>
        <w:ind w:firstLine="720"/>
        <w:jc w:val="center"/>
      </w:pPr>
      <w:r>
        <w:rPr>
          <w:rFonts w:ascii="Times New Roman" w:hAnsi="Times New Roman"/>
          <w:b/>
          <w:sz w:val="24"/>
        </w:rPr>
        <w:t>KEYWORDS</w:t>
      </w:r>
    </w:p>
    <w:p>
      <w:pPr>
        <w:spacing w:line="480" w:lineRule="auto"/>
        <w:ind w:firstLine="720"/>
        <w:jc w:val="left"/>
      </w:pPr>
      <w:r>
        <w:rPr>
          <w:rFonts w:ascii="Times New Roman" w:hAnsi="Times New Roman"/>
          <w:sz w:val="24"/>
        </w:rPr>
        <w:t>Cadastre, Public Accounting, Real Estate Tax, Delinquency, Technological integration.</w:t>
      </w:r>
    </w:p>
    <w:p>
      <w:pPr>
        <w:pStyle w:val="Heading1"/>
        <w:spacing w:line="480" w:lineRule="auto"/>
        <w:ind w:firstLine="720"/>
        <w:jc w:val="center"/>
      </w:pPr>
      <w:r>
        <w:rPr>
          <w:rFonts w:ascii="Times New Roman" w:hAnsi="Times New Roman"/>
          <w:b/>
          <w:sz w:val="24"/>
        </w:rPr>
        <w:t>INTRODUCCIÓN</w:t>
      </w:r>
    </w:p>
    <w:p>
      <w:pPr>
        <w:spacing w:line="480" w:lineRule="auto"/>
        <w:ind w:firstLine="720"/>
        <w:jc w:val="left"/>
      </w:pPr>
      <w:r>
        <w:rPr>
          <w:rFonts w:ascii="Times New Roman" w:hAnsi="Times New Roman"/>
          <w:sz w:val="24"/>
        </w:rPr>
        <w:t>La administración tributaria municipal requiere mecanismos de registro confiables para sostener la autonomía financiera local. El Impuesto Inmobiliario constituye una fuente crítica de recursos; sin embargo, su gestión sigue limitada por la fragmentación informática entre catastro y contabilidad.</w:t>
      </w:r>
    </w:p>
    <w:p>
      <w:pPr>
        <w:spacing w:line="480" w:lineRule="auto"/>
        <w:ind w:firstLine="720"/>
        <w:jc w:val="left"/>
      </w:pPr>
      <w:r>
        <w:rPr>
          <w:rFonts w:ascii="Times New Roman" w:hAnsi="Times New Roman"/>
          <w:sz w:val="24"/>
        </w:rPr>
        <w:t>En la Municipalidad de Asunción, esta desarticulación genera duplicaciones, morosidad creciente y una visión distorsionada de la cartera de deudores. El presente estudio se enfoca en analizar dicha problemática desde la normativa vigente y la evidencia documental disponible.</w:t>
      </w:r>
    </w:p>
    <w:p>
      <w:pPr>
        <w:spacing w:line="480" w:lineRule="auto"/>
        <w:ind w:firstLine="720"/>
        <w:jc w:val="left"/>
      </w:pPr>
      <w:r>
        <w:rPr>
          <w:rFonts w:ascii="Times New Roman" w:hAnsi="Times New Roman"/>
          <w:sz w:val="24"/>
        </w:rPr>
        <w:t>El objetivo general es analizar la incidencia de la falta de integración entre catastro y contabilidad pública en la gestión tributaria municipal. Los capítulos desarrollan el planteamiento del problema, la pregunta de investigación, los objetivos, la justificación, el marco teórico conceptual, la metodología, los resultados, el análisis y las recomendaciones.</w:t>
      </w:r>
    </w:p>
    <w:p>
      <w:pPr>
        <w:spacing w:line="480" w:lineRule="auto"/>
        <w:ind w:firstLine="720"/>
      </w:pPr>
      <w:r>
        <w:rPr>
          <w:rFonts w:ascii="Times New Roman" w:hAnsi="Times New Roman"/>
          <w:sz w:val="24"/>
        </w:rPr>
        <w:br w:type="page"/>
      </w:r>
    </w:p>
    <w:p>
      <w:pPr>
        <w:pStyle w:val="Heading1"/>
        <w:spacing w:line="480" w:lineRule="auto"/>
        <w:ind w:firstLine="720"/>
        <w:jc w:val="center"/>
      </w:pPr>
      <w:r>
        <w:rPr>
          <w:rFonts w:ascii="Times New Roman" w:hAnsi="Times New Roman"/>
          <w:b/>
          <w:sz w:val="24"/>
        </w:rPr>
        <w:t>CAPÍTULO I. PLANTEAMIENTO DEL PROBLEMA</w:t>
      </w:r>
    </w:p>
    <w:p>
      <w:pPr>
        <w:spacing w:line="480" w:lineRule="auto"/>
        <w:ind w:firstLine="720"/>
        <w:jc w:val="left"/>
      </w:pPr>
      <w:r>
        <w:rPr>
          <w:rFonts w:ascii="Times New Roman" w:hAnsi="Times New Roman"/>
          <w:sz w:val="24"/>
        </w:rPr>
        <w:t>La municipalidad registra una sincronización deficiente entre el padrón catastral y el sistema contable. Esta ruptura genera discrepancias entre lo emitido y lo efectivamente cobrado.</w:t>
      </w:r>
    </w:p>
    <w:p>
      <w:pPr>
        <w:spacing w:line="480" w:lineRule="auto"/>
        <w:ind w:firstLine="720"/>
        <w:jc w:val="left"/>
      </w:pPr>
      <w:r>
        <w:rPr>
          <w:rFonts w:ascii="Times New Roman" w:hAnsi="Times New Roman"/>
          <w:sz w:val="24"/>
        </w:rPr>
        <w:t>Se identificaron tres síntomas principales: bases de datos obsoletas, retrasos de hasta 45 días en la actualización registral y replicación manual de información entre dependencias. Estos fallos impactan en la transparencia y en la confianza tributaria.</w:t>
      </w:r>
    </w:p>
    <w:p>
      <w:pPr>
        <w:spacing w:line="480" w:lineRule="auto"/>
        <w:ind w:firstLine="720"/>
        <w:jc w:val="left"/>
      </w:pPr>
      <w:r>
        <w:rPr>
          <w:rFonts w:ascii="Times New Roman" w:hAnsi="Times New Roman"/>
          <w:sz w:val="24"/>
        </w:rPr>
        <w:t>A partir de estos síntomas, se formula la siguiente pregunta de investigación: ¿De qué manera la falta de integración entre el catastro y la contabilidad pública afecta la recaudación del Impuesto Inmobiliario en la Municipalidad de Asunción?</w:t>
      </w:r>
    </w:p>
    <w:p>
      <w:pPr>
        <w:spacing w:line="480" w:lineRule="auto"/>
        <w:ind w:firstLine="720"/>
        <w:jc w:val="left"/>
      </w:pPr>
      <w:r>
        <w:rPr>
          <w:rFonts w:ascii="Times New Roman" w:hAnsi="Times New Roman"/>
          <w:sz w:val="24"/>
        </w:rPr>
        <w:t>Objetivo general: Analizar la incidencia de la desarticulación tecnológica entre catastro y contabilidad en la gestión del Impuesto Inmobiliario.</w:t>
      </w:r>
    </w:p>
    <w:p>
      <w:pPr>
        <w:spacing w:line="480" w:lineRule="auto"/>
        <w:ind w:firstLine="720"/>
        <w:jc w:val="left"/>
      </w:pPr>
      <w:r>
        <w:rPr>
          <w:rFonts w:ascii="Times New Roman" w:hAnsi="Times New Roman"/>
          <w:sz w:val="24"/>
        </w:rPr>
        <w:t>Objetivos específicos:</w:t>
        <w:br/>
        <w:t>1) Describir el flujo actual de información catastral hacia los estados financieros.</w:t>
        <w:br/>
        <w:t>2) Identificar las normas y controles aplicables al registro tributario.</w:t>
        <w:br/>
        <w:t>3) Evaluar el impacto de la falta de interoperabilidad en la morosidad municipal.</w:t>
        <w:br/>
        <w:t>4) Proponer lineamientos técnicos para un modelo integrado de información.</w:t>
      </w:r>
    </w:p>
    <w:p>
      <w:pPr>
        <w:spacing w:line="480" w:lineRule="auto"/>
        <w:ind w:firstLine="720"/>
        <w:jc w:val="left"/>
      </w:pPr>
      <w:r>
        <w:rPr>
          <w:rFonts w:ascii="Times New Roman" w:hAnsi="Times New Roman"/>
          <w:sz w:val="24"/>
        </w:rPr>
        <w:t>Justificación: El tema es relevante porque afecta la sostenibilidad fiscal municipal. Su estudio aporta insumos para modernizar el registro tributario, reducir la evasión y mejorar la rendición de cuentas.</w:t>
      </w:r>
    </w:p>
    <w:p>
      <w:pPr>
        <w:spacing w:line="480" w:lineRule="auto"/>
        <w:ind w:firstLine="720"/>
      </w:pPr>
      <w:r>
        <w:rPr>
          <w:rFonts w:ascii="Times New Roman" w:hAnsi="Times New Roman"/>
          <w:sz w:val="24"/>
        </w:rPr>
        <w:br w:type="page"/>
      </w:r>
    </w:p>
    <w:p>
      <w:pPr>
        <w:pStyle w:val="Heading1"/>
        <w:spacing w:line="480" w:lineRule="auto"/>
        <w:ind w:firstLine="720"/>
        <w:jc w:val="center"/>
      </w:pPr>
      <w:r>
        <w:rPr>
          <w:rFonts w:ascii="Times New Roman" w:hAnsi="Times New Roman"/>
          <w:b/>
          <w:sz w:val="24"/>
        </w:rPr>
        <w:t>CAPÍTULO II. MARCO TEÓRICO CONCEPTUAL</w:t>
      </w:r>
    </w:p>
    <w:p>
      <w:pPr>
        <w:spacing w:line="480" w:lineRule="auto"/>
        <w:ind w:firstLine="720"/>
        <w:jc w:val="left"/>
      </w:pPr>
      <w:r>
        <w:rPr>
          <w:rFonts w:ascii="Times New Roman" w:hAnsi="Times New Roman"/>
          <w:sz w:val="24"/>
        </w:rPr>
        <w:t>La contabilidad pública se entiende como el sistema estructurado para registrar los eventos económicos del Estado, orientado a la rendición de cuentas más que a la rentabilidad. Su aplicación en gobiernos locales exige información confiable, oportuna y articulada con los registros de propiedad.</w:t>
      </w:r>
    </w:p>
    <w:p>
      <w:pPr>
        <w:spacing w:line="480" w:lineRule="auto"/>
        <w:ind w:firstLine="720"/>
        <w:jc w:val="left"/>
      </w:pPr>
      <w:r>
        <w:rPr>
          <w:rFonts w:ascii="Times New Roman" w:hAnsi="Times New Roman"/>
          <w:sz w:val="24"/>
        </w:rPr>
        <w:t>El catastro constituye el inventario oficial de bienes inmuebles. Su calidad determina la base imponible y, por tanto, la capacidad recaudatoria del municipio. Según la doctrina, un catastro integrado a sistemas de información geográfica y tesorería disminuye la evasión y mejora la equidad tributaria.</w:t>
      </w:r>
    </w:p>
    <w:p>
      <w:pPr>
        <w:spacing w:line="480" w:lineRule="auto"/>
        <w:ind w:firstLine="720"/>
        <w:jc w:val="left"/>
      </w:pPr>
      <w:r>
        <w:rPr>
          <w:rFonts w:ascii="Times New Roman" w:hAnsi="Times New Roman"/>
          <w:sz w:val="24"/>
        </w:rPr>
        <w:t>En Paraguay, la Ley N° 3966/10 Orgánica Municipal establece la competencia municipal sobre el Impuesto Inmobiliario. Este marco legal obliga además a distribuir hacendariamente los fondos recaudados, por lo que los errores de registro no solo afectan al municipio, sino también a otros niveles de gobierno.</w:t>
      </w:r>
    </w:p>
    <w:p>
      <w:pPr>
        <w:spacing w:line="480" w:lineRule="auto"/>
        <w:ind w:firstLine="720"/>
      </w:pPr>
      <w:r>
        <w:rPr>
          <w:rFonts w:ascii="Times New Roman" w:hAnsi="Times New Roman"/>
          <w:sz w:val="24"/>
        </w:rPr>
        <w:br w:type="page"/>
      </w:r>
    </w:p>
    <w:p>
      <w:pPr>
        <w:pStyle w:val="Heading1"/>
        <w:spacing w:line="480" w:lineRule="auto"/>
        <w:ind w:firstLine="720"/>
        <w:jc w:val="center"/>
      </w:pPr>
      <w:r>
        <w:rPr>
          <w:rFonts w:ascii="Times New Roman" w:hAnsi="Times New Roman"/>
          <w:b/>
          <w:sz w:val="24"/>
        </w:rPr>
        <w:t>CAPÍTULO III. MARCO METODOLÓGICO</w:t>
      </w:r>
    </w:p>
    <w:p>
      <w:pPr>
        <w:spacing w:line="480" w:lineRule="auto"/>
        <w:ind w:firstLine="720"/>
        <w:jc w:val="left"/>
      </w:pPr>
      <w:r>
        <w:rPr>
          <w:rFonts w:ascii="Times New Roman" w:hAnsi="Times New Roman"/>
          <w:sz w:val="24"/>
        </w:rPr>
        <w:t>Enfoque: cualitativo descriptivo, no experimental y transeccional. Se optó por este enfoque porque el problema se analiza en su contexto real sin manipulación de variables.</w:t>
      </w:r>
    </w:p>
    <w:p>
      <w:pPr>
        <w:spacing w:line="480" w:lineRule="auto"/>
        <w:ind w:firstLine="720"/>
        <w:jc w:val="left"/>
      </w:pPr>
      <w:r>
        <w:rPr>
          <w:rFonts w:ascii="Times New Roman" w:hAnsi="Times New Roman"/>
          <w:sz w:val="24"/>
        </w:rPr>
        <w:t>Diseño: estudio de caso documental basado en la revisión de manuales de funciones, reportes de auditoría, resoluciones de la Dirección Nacional de Contrataciones Públicas y notas periodísticas sobre el tema.</w:t>
      </w:r>
    </w:p>
    <w:p>
      <w:pPr>
        <w:spacing w:line="480" w:lineRule="auto"/>
        <w:ind w:firstLine="720"/>
        <w:jc w:val="left"/>
      </w:pPr>
      <w:r>
        <w:rPr>
          <w:rFonts w:ascii="Times New Roman" w:hAnsi="Times New Roman"/>
          <w:sz w:val="24"/>
        </w:rPr>
        <w:t>Unidad de análisis: proceso de liquidación y registro del Impuesto Inmobiliario en el Departamento de Catastro, en conexión con la Dirección de Administración y Finanzas.</w:t>
      </w:r>
    </w:p>
    <w:p>
      <w:pPr>
        <w:spacing w:line="480" w:lineRule="auto"/>
        <w:ind w:firstLine="720"/>
        <w:jc w:val="left"/>
      </w:pPr>
      <w:r>
        <w:rPr>
          <w:rFonts w:ascii="Times New Roman" w:hAnsi="Times New Roman"/>
          <w:sz w:val="24"/>
        </w:rPr>
        <w:t>Técnicas e instrumentos: análisis documental, observación indirecta de registros públicos, triangulación entre normativa, procedimientos internos y evidencia empírica.</w:t>
      </w:r>
    </w:p>
    <w:p>
      <w:pPr>
        <w:spacing w:line="480" w:lineRule="auto"/>
        <w:ind w:firstLine="720"/>
        <w:jc w:val="left"/>
      </w:pPr>
      <w:r>
        <w:rPr>
          <w:rFonts w:ascii="Times New Roman" w:hAnsi="Times New Roman"/>
          <w:sz w:val="24"/>
        </w:rPr>
        <w:t>Procedimiento: se codificaron las deficiencias por temas, se agruparon hallazgos comunes y se validaron mediante contraste con fuentes oficiales.</w:t>
      </w:r>
    </w:p>
    <w:p>
      <w:pPr>
        <w:spacing w:line="480" w:lineRule="auto"/>
        <w:ind w:firstLine="720"/>
      </w:pPr>
      <w:r>
        <w:rPr>
          <w:rFonts w:ascii="Times New Roman" w:hAnsi="Times New Roman"/>
          <w:sz w:val="24"/>
        </w:rPr>
        <w:br w:type="page"/>
      </w:r>
    </w:p>
    <w:p>
      <w:pPr>
        <w:pStyle w:val="Heading1"/>
        <w:spacing w:line="480" w:lineRule="auto"/>
        <w:ind w:firstLine="720"/>
        <w:jc w:val="center"/>
      </w:pPr>
      <w:r>
        <w:rPr>
          <w:rFonts w:ascii="Times New Roman" w:hAnsi="Times New Roman"/>
          <w:b/>
          <w:sz w:val="24"/>
        </w:rPr>
        <w:t>CAPÍTULO IV. RESULTADOS</w:t>
      </w:r>
    </w:p>
    <w:p>
      <w:pPr>
        <w:spacing w:line="480" w:lineRule="auto"/>
        <w:ind w:firstLine="720"/>
        <w:jc w:val="left"/>
      </w:pPr>
      <w:r>
        <w:rPr>
          <w:rFonts w:ascii="Times New Roman" w:hAnsi="Times New Roman"/>
          <w:sz w:val="24"/>
        </w:rPr>
        <w:t>Se identificaron cuatro hallazgos centrales. Primero, el sistema catastral opera con tecnologías sin conectividad API, lo que impide actualizaciones automáticas. Segundo, los retrasos operativos superan los 45 días en trámites clave. Tercero, la morosidad se alimenta de datos inconsistentes y de la percepción ciudadana de errores sistemáticos. Cuarto, el control interno es detectivo y documental, no preventivo.</w:t>
      </w:r>
    </w:p>
    <w:p>
      <w:pPr>
        <w:spacing w:line="480" w:lineRule="auto"/>
        <w:ind w:firstLine="720"/>
        <w:jc w:val="left"/>
      </w:pPr>
      <w:r>
        <w:rPr>
          <w:rFonts w:ascii="Times New Roman" w:hAnsi="Times New Roman"/>
          <w:sz w:val="24"/>
        </w:rPr>
        <w:t>Estos resultados confirman que la falta de integración informática es la causa raíz que afecta la exactitud contable y la confianza tributaria.</w:t>
      </w:r>
    </w:p>
    <w:p>
      <w:pPr>
        <w:spacing w:line="480" w:lineRule="auto"/>
        <w:ind w:firstLine="720"/>
      </w:pPr>
      <w:r>
        <w:rPr>
          <w:rFonts w:ascii="Times New Roman" w:hAnsi="Times New Roman"/>
          <w:sz w:val="24"/>
        </w:rPr>
        <w:br w:type="page"/>
      </w:r>
    </w:p>
    <w:p>
      <w:pPr>
        <w:pStyle w:val="Heading1"/>
        <w:spacing w:line="480" w:lineRule="auto"/>
        <w:ind w:firstLine="720"/>
        <w:jc w:val="center"/>
      </w:pPr>
      <w:r>
        <w:rPr>
          <w:rFonts w:ascii="Times New Roman" w:hAnsi="Times New Roman"/>
          <w:b/>
          <w:sz w:val="24"/>
        </w:rPr>
        <w:t>CAPÍTULO V. ANÁLISIS Y DIAGNÓSTICO</w:t>
      </w:r>
    </w:p>
    <w:p>
      <w:pPr>
        <w:spacing w:line="480" w:lineRule="auto"/>
        <w:ind w:firstLine="720"/>
        <w:jc w:val="left"/>
      </w:pPr>
      <w:r>
        <w:rPr>
          <w:rFonts w:ascii="Times New Roman" w:hAnsi="Times New Roman"/>
          <w:sz w:val="24"/>
        </w:rPr>
        <w:t>Los hallazgos se interpretan como una brecha entre la normativa y la práctica operativa. La Ley Orgánica Municipal y las NICSP proveen el marco correcto; la falla está en la implementación tecnológica y cultural de la organización.</w:t>
      </w:r>
    </w:p>
    <w:p>
      <w:pPr>
        <w:spacing w:line="480" w:lineRule="auto"/>
        <w:ind w:firstLine="720"/>
        <w:jc w:val="left"/>
      </w:pPr>
      <w:r>
        <w:rPr>
          <w:rFonts w:ascii="Times New Roman" w:hAnsi="Times New Roman"/>
          <w:sz w:val="24"/>
        </w:rPr>
        <w:t>En comparación con experiencias internacionales, el municipio se encuentra rezagado en madurez digital. Las recomendaciones deben centrarse en interoperabilidad, depuración masiva y manuales formalizados.</w:t>
      </w:r>
    </w:p>
    <w:p>
      <w:pPr>
        <w:spacing w:line="480" w:lineRule="auto"/>
        <w:ind w:firstLine="720"/>
      </w:pPr>
      <w:r>
        <w:rPr>
          <w:rFonts w:ascii="Times New Roman" w:hAnsi="Times New Roman"/>
          <w:sz w:val="24"/>
        </w:rPr>
        <w:br w:type="page"/>
      </w:r>
    </w:p>
    <w:p>
      <w:pPr>
        <w:pStyle w:val="Heading1"/>
        <w:spacing w:line="480" w:lineRule="auto"/>
        <w:ind w:firstLine="720"/>
        <w:jc w:val="center"/>
      </w:pPr>
      <w:r>
        <w:rPr>
          <w:rFonts w:ascii="Times New Roman" w:hAnsi="Times New Roman"/>
          <w:b/>
          <w:sz w:val="24"/>
        </w:rPr>
        <w:t>CAPÍTULO VI. RECOMENDACIONES</w:t>
      </w:r>
    </w:p>
    <w:p>
      <w:pPr>
        <w:spacing w:line="480" w:lineRule="auto"/>
        <w:ind w:firstLine="720"/>
        <w:jc w:val="left"/>
      </w:pPr>
      <w:r>
        <w:rPr>
          <w:rFonts w:ascii="Times New Roman" w:hAnsi="Times New Roman"/>
          <w:sz w:val="24"/>
        </w:rPr>
        <w:t>1. Implementar interoperabilidad tecnológica entre catastro y tesorería.</w:t>
        <w:br/>
        <w:t>2. Ejecutar una depuración masiva del padrón catastral antes de cualquier medida coercitiva.</w:t>
        <w:br/>
        <w:t>3. Actualizar normativas y manuales internos con protocolos de conciliación diaria.</w:t>
        <w:br/>
        <w:t>4. Fortalecer controles preventivos automatizados y trazabilidad digital.</w:t>
      </w:r>
    </w:p>
    <w:p>
      <w:pPr>
        <w:spacing w:line="480" w:lineRule="auto"/>
        <w:ind w:firstLine="720"/>
      </w:pPr>
      <w:r>
        <w:rPr>
          <w:rFonts w:ascii="Times New Roman" w:hAnsi="Times New Roman"/>
          <w:sz w:val="24"/>
        </w:rPr>
        <w:br w:type="page"/>
      </w:r>
    </w:p>
    <w:p>
      <w:pPr>
        <w:pStyle w:val="Heading1"/>
        <w:spacing w:line="480" w:lineRule="auto"/>
        <w:ind w:firstLine="720"/>
        <w:jc w:val="center"/>
      </w:pPr>
      <w:r>
        <w:rPr>
          <w:rFonts w:ascii="Times New Roman" w:hAnsi="Times New Roman"/>
          <w:b/>
          <w:sz w:val="24"/>
        </w:rPr>
        <w:t>CONCLUSIONES</w:t>
      </w:r>
    </w:p>
    <w:p>
      <w:pPr>
        <w:spacing w:line="480" w:lineRule="auto"/>
        <w:ind w:firstLine="720"/>
        <w:jc w:val="left"/>
      </w:pPr>
      <w:r>
        <w:rPr>
          <w:rFonts w:ascii="Times New Roman" w:hAnsi="Times New Roman"/>
          <w:sz w:val="24"/>
        </w:rPr>
        <w:t>La investigación confirma que la desconexión entre el catastro y la contabilidad pública es el factor determinante de la morosidad y la baja transparencia en la Municipalidad de Asunción. La institucionalidad requiere modernización tecnológica antes que medidas punitivas.</w:t>
      </w:r>
    </w:p>
    <w:p>
      <w:pPr>
        <w:spacing w:line="480" w:lineRule="auto"/>
        <w:ind w:firstLine="720"/>
        <w:jc w:val="left"/>
      </w:pPr>
      <w:r>
        <w:rPr>
          <w:rFonts w:ascii="Times New Roman" w:hAnsi="Times New Roman"/>
          <w:sz w:val="24"/>
        </w:rPr>
        <w:t>La integración de bases de datos permitiría recuperar ingresos significativos y dotar al municipio de información financiera confiable. El cambio debe ser estructural: datos, procesos, controles y cultura organizacional.</w:t>
      </w:r>
    </w:p>
    <w:p>
      <w:pPr>
        <w:spacing w:line="480" w:lineRule="auto"/>
        <w:ind w:firstLine="720"/>
      </w:pPr>
      <w:r>
        <w:rPr>
          <w:rFonts w:ascii="Times New Roman" w:hAnsi="Times New Roman"/>
          <w:sz w:val="24"/>
        </w:rPr>
        <w:br w:type="page"/>
      </w:r>
    </w:p>
    <w:p>
      <w:pPr>
        <w:pStyle w:val="Heading1"/>
        <w:spacing w:line="480" w:lineRule="auto"/>
        <w:ind w:firstLine="720"/>
        <w:jc w:val="center"/>
      </w:pPr>
      <w:r>
        <w:rPr>
          <w:rFonts w:ascii="Times New Roman" w:hAnsi="Times New Roman"/>
          <w:b/>
          <w:sz w:val="24"/>
        </w:rPr>
        <w:t>REFERENCIAS</w:t>
      </w:r>
    </w:p>
    <w:p>
      <w:pPr>
        <w:spacing w:line="480" w:lineRule="auto"/>
        <w:ind w:left="720" w:firstLine="720"/>
        <w:jc w:val="left"/>
      </w:pPr>
      <w:r>
        <w:rPr>
          <w:rFonts w:ascii="Times New Roman" w:hAnsi="Times New Roman"/>
          <w:sz w:val="24"/>
        </w:rPr>
        <w:t>Banco Interamericano de Desarrollo. (2021). Retos y oportunidades del catastro multifinalitario en América Latina. Washington, D.C.: BID.</w:t>
      </w:r>
    </w:p>
    <w:p>
      <w:pPr>
        <w:spacing w:line="480" w:lineRule="auto"/>
        <w:ind w:left="720" w:firstLine="720"/>
        <w:jc w:val="left"/>
      </w:pPr>
      <w:r>
        <w:rPr>
          <w:rFonts w:ascii="Times New Roman" w:hAnsi="Times New Roman"/>
          <w:sz w:val="24"/>
        </w:rPr>
        <w:t>Comisión Económica para América Latina y el Caribe. (2020). Descentralización y recaudación fiscal municipal en la región. Santiago de Chile: CEPAL.</w:t>
      </w:r>
    </w:p>
    <w:p>
      <w:pPr>
        <w:spacing w:line="480" w:lineRule="auto"/>
        <w:ind w:left="720" w:firstLine="720"/>
        <w:jc w:val="left"/>
      </w:pPr>
      <w:r>
        <w:rPr>
          <w:rFonts w:ascii="Times New Roman" w:hAnsi="Times New Roman"/>
          <w:sz w:val="24"/>
        </w:rPr>
        <w:t>Congreso Nacional de Paraguay. (2010). Ley N° 3966 Orgánica Municipal. Asunción, Paraguay.</w:t>
      </w:r>
    </w:p>
    <w:p>
      <w:pPr>
        <w:spacing w:line="480" w:lineRule="auto"/>
        <w:ind w:left="720" w:firstLine="720"/>
        <w:jc w:val="left"/>
      </w:pPr>
      <w:r>
        <w:rPr>
          <w:rFonts w:ascii="Times New Roman" w:hAnsi="Times New Roman"/>
          <w:sz w:val="24"/>
        </w:rPr>
        <w:t>Diario ABC Color. (15 de marzo de 2022). Municipalidad de Asunción planea enviar a morosos a Inforconf. ABC Digital.</w:t>
      </w:r>
    </w:p>
    <w:p>
      <w:pPr>
        <w:spacing w:line="480" w:lineRule="auto"/>
        <w:ind w:left="720" w:firstLine="720"/>
        <w:jc w:val="left"/>
      </w:pPr>
      <w:r>
        <w:rPr>
          <w:rFonts w:ascii="Times New Roman" w:hAnsi="Times New Roman"/>
          <w:sz w:val="24"/>
        </w:rPr>
        <w:t>Diario Última Hora. (10 de octubre de 2021). Fallas catastrales derivan en duplicación de impuestos en la comuna capitalina. Última Hora Digital.</w:t>
      </w:r>
    </w:p>
    <w:p>
      <w:pPr>
        <w:spacing w:line="480" w:lineRule="auto"/>
        <w:ind w:left="720" w:firstLine="720"/>
        <w:jc w:val="left"/>
      </w:pPr>
      <w:r>
        <w:rPr>
          <w:rFonts w:ascii="Times New Roman" w:hAnsi="Times New Roman"/>
          <w:sz w:val="24"/>
        </w:rPr>
        <w:t>Federación Internacional de Contadores. (2020). Normas Internacionales de Contabilidad del Sector Público (NICSP). Nueva York: IFAC.</w:t>
      </w:r>
    </w:p>
    <w:p>
      <w:pPr>
        <w:spacing w:line="480" w:lineRule="auto"/>
        <w:ind w:left="720" w:firstLine="720"/>
        <w:jc w:val="left"/>
      </w:pPr>
      <w:r>
        <w:rPr>
          <w:rFonts w:ascii="Times New Roman" w:hAnsi="Times New Roman"/>
          <w:sz w:val="24"/>
        </w:rPr>
        <w:t>Hernández-Sampieri, R., Fernández-Collado, C., &amp; Baptista-Lucio, P. (2014). Metodología de la investigación (6.a ed.). McGraw-Hill.</w:t>
      </w:r>
    </w:p>
    <w:p>
      <w:pPr>
        <w:spacing w:line="480" w:lineRule="auto"/>
        <w:ind w:left="720" w:firstLine="720"/>
        <w:jc w:val="left"/>
      </w:pPr>
      <w:r>
        <w:rPr>
          <w:rFonts w:ascii="Times New Roman" w:hAnsi="Times New Roman"/>
          <w:sz w:val="24"/>
        </w:rPr>
        <w:t>Ministerio de Hacienda de la República del Paraguay. (2019). Manual de Contabilidad Gubernamental. Asunción, Paraguay: Dirección General de Contabilidad Pública.</w:t>
      </w:r>
    </w:p>
    <w:p>
      <w:pPr>
        <w:spacing w:line="480" w:lineRule="auto"/>
        <w:ind w:firstLine="720"/>
      </w:pPr>
      <w:r>
        <w:rPr>
          <w:rFonts w:ascii="Times New Roman" w:hAnsi="Times New Roman"/>
          <w:sz w:val="24"/>
        </w:rPr>
        <w:br w:type="page"/>
      </w:r>
    </w:p>
    <w:p>
      <w:pPr>
        <w:pStyle w:val="Heading1"/>
        <w:spacing w:line="480" w:lineRule="auto"/>
        <w:ind w:firstLine="720"/>
        <w:jc w:val="center"/>
      </w:pPr>
      <w:r>
        <w:rPr>
          <w:rFonts w:ascii="Times New Roman" w:hAnsi="Times New Roman"/>
          <w:b/>
          <w:sz w:val="24"/>
        </w:rPr>
        <w:t>ANEXOS</w:t>
      </w:r>
    </w:p>
    <w:p>
      <w:pPr>
        <w:pStyle w:val="Heading2"/>
        <w:spacing w:line="480" w:lineRule="auto"/>
        <w:ind w:firstLine="720"/>
        <w:jc w:val="left"/>
      </w:pPr>
      <w:r>
        <w:rPr>
          <w:rFonts w:ascii="Times New Roman" w:hAnsi="Times New Roman"/>
          <w:b/>
          <w:sz w:val="24"/>
        </w:rPr>
        <w:t>Anexo 1: Grilla de Evaluación</w:t>
      </w:r>
    </w:p>
    <w:p>
      <w:pPr>
        <w:pStyle w:val="Caption"/>
        <w:spacing w:after="0" w:line="480" w:lineRule="auto"/>
        <w:ind w:firstLine="720"/>
      </w:pPr>
      <w:r>
        <w:rPr>
          <w:rFonts w:ascii="Times New Roman" w:hAnsi="Times New Roman"/>
          <w:b/>
          <w:sz w:val="24"/>
        </w:rPr>
        <w:t>Tabla 1</w:t>
      </w:r>
    </w:p>
    <w:p>
      <w:pPr>
        <w:spacing w:after="240" w:line="480" w:lineRule="auto"/>
        <w:ind w:firstLine="720"/>
      </w:pPr>
      <w:r>
        <w:rPr>
          <w:rFonts w:ascii="Times New Roman" w:hAnsi="Times New Roman"/>
          <w:i/>
          <w:sz w:val="24"/>
        </w:rPr>
        <w:t>Grilla de Evaluación de Monografía</w:t>
      </w:r>
    </w:p>
    <w:tbl>
      <w:tblPr>
        <w:tblStyle w:val="TableGrid"/>
        <w:tblW w:type="auto" w:w="0"/>
        <w:tblLook w:firstColumn="1" w:firstRow="1" w:lastColumn="0" w:lastRow="0" w:noHBand="0" w:noVBand="1" w:val="04A0"/>
      </w:tblPr>
      <w:tblGrid>
        <w:gridCol w:w="4513"/>
        <w:gridCol w:w="4513"/>
      </w:tblGrid>
      <w:tr>
        <w:tc>
          <w:tcPr>
            <w:tcW w:type="dxa" w:w="4513"/>
            <w:tcBorders>
              <w:left w:val="none"/>
              <w:right w:val="none"/>
              <w:bottom w:val="single" w:sz="4"/>
            </w:tcBorders>
          </w:tcPr>
          <w:p>
            <w:pPr>
              <w:jc w:val="left"/>
            </w:pPr>
            <w:r>
              <w:t>CRITERIOS</w:t>
            </w:r>
          </w:p>
        </w:tc>
        <w:tc>
          <w:tcPr>
            <w:tcW w:type="dxa" w:w="4513"/>
            <w:tcBorders>
              <w:left w:val="none"/>
              <w:right w:val="none"/>
              <w:bottom w:val="single" w:sz="4"/>
            </w:tcBorders>
          </w:tcPr>
          <w:p>
            <w:pPr>
              <w:jc w:val="left"/>
            </w:pPr>
            <w:r>
              <w:t>INDICADORES</w:t>
            </w:r>
          </w:p>
        </w:tc>
      </w:tr>
      <w:tr>
        <w:tc>
          <w:tcPr>
            <w:tcW w:type="dxa" w:w="4513"/>
            <w:tcBorders>
              <w:left w:val="none"/>
              <w:right w:val="none"/>
              <w:bottom w:val="single" w:sz="4"/>
            </w:tcBorders>
          </w:tcPr>
          <w:p>
            <w:pPr>
              <w:jc w:val="left"/>
            </w:pPr>
            <w:r>
              <w:t>Estructura general</w:t>
            </w:r>
          </w:p>
        </w:tc>
        <w:tc>
          <w:tcPr>
            <w:tcW w:type="dxa" w:w="4513"/>
            <w:tcBorders>
              <w:left w:val="none"/>
              <w:right w:val="none"/>
              <w:bottom w:val="single" w:sz="4"/>
            </w:tcBorders>
          </w:tcPr>
          <w:p>
            <w:pPr>
              <w:jc w:val="left"/>
            </w:pPr>
            <w:r>
              <w:t>Presenta estructura completa: portada, índice, introducción, desarrollo, conclusión y fuentes de consulta.</w:t>
            </w:r>
          </w:p>
        </w:tc>
      </w:tr>
      <w:tr>
        <w:tc>
          <w:tcPr>
            <w:tcW w:type="dxa" w:w="4513"/>
            <w:tcBorders>
              <w:left w:val="none"/>
              <w:right w:val="none"/>
              <w:bottom w:val="single" w:sz="4"/>
            </w:tcBorders>
          </w:tcPr>
          <w:p>
            <w:pPr>
              <w:jc w:val="left"/>
            </w:pPr>
            <w:r>
              <w:t>Introducción</w:t>
            </w:r>
          </w:p>
        </w:tc>
        <w:tc>
          <w:tcPr>
            <w:tcW w:type="dxa" w:w="4513"/>
            <w:tcBorders>
              <w:left w:val="none"/>
              <w:right w:val="none"/>
              <w:bottom w:val="single" w:sz="4"/>
            </w:tcBorders>
          </w:tcPr>
          <w:p>
            <w:pPr>
              <w:jc w:val="left"/>
            </w:pPr>
            <w:r>
              <w:t>Presenta el tema y contextualiza el problema de investigación.</w:t>
              <w:br/>
              <w:t>Incluye planteamiento del problema y justificación del estudio.</w:t>
              <w:br/>
              <w:t>Define claramente el objetivo o los objetivos del trabajo.</w:t>
              <w:br/>
              <w:t>Describe brevemente la organización o estructura del trabajo.</w:t>
            </w:r>
          </w:p>
        </w:tc>
      </w:tr>
      <w:tr>
        <w:tc>
          <w:tcPr>
            <w:tcW w:type="dxa" w:w="4513"/>
            <w:tcBorders>
              <w:left w:val="none"/>
              <w:right w:val="none"/>
              <w:bottom w:val="single" w:sz="4"/>
            </w:tcBorders>
          </w:tcPr>
          <w:p>
            <w:pPr>
              <w:jc w:val="left"/>
            </w:pPr>
            <w:r>
              <w:t>Desarrollo</w:t>
            </w:r>
          </w:p>
        </w:tc>
        <w:tc>
          <w:tcPr>
            <w:tcW w:type="dxa" w:w="4513"/>
            <w:tcBorders>
              <w:left w:val="none"/>
              <w:right w:val="none"/>
              <w:bottom w:val="single" w:sz="4"/>
            </w:tcBorders>
          </w:tcPr>
          <w:p>
            <w:pPr>
              <w:jc w:val="left"/>
            </w:pPr>
            <w:r>
              <w:t>Organiza el contenido en capítulos o subtemas coherentes.</w:t>
              <w:br/>
              <w:t>Utiliza información confiable y documentada.</w:t>
              <w:br/>
              <w:t>Explica y analiza el tema con claridad y coherencia.</w:t>
              <w:br/>
              <w:t>Utiliza citas y referencias bibliográficas para sustentar las ideas.</w:t>
            </w:r>
          </w:p>
        </w:tc>
      </w:tr>
      <w:tr>
        <w:tc>
          <w:tcPr>
            <w:tcW w:type="dxa" w:w="4513"/>
            <w:tcBorders>
              <w:left w:val="none"/>
              <w:right w:val="none"/>
              <w:bottom w:val="single" w:sz="4"/>
            </w:tcBorders>
          </w:tcPr>
          <w:p>
            <w:pPr>
              <w:jc w:val="left"/>
            </w:pPr>
            <w:r>
              <w:t>Conclusión</w:t>
            </w:r>
          </w:p>
        </w:tc>
        <w:tc>
          <w:tcPr>
            <w:tcW w:type="dxa" w:w="4513"/>
            <w:tcBorders>
              <w:left w:val="none"/>
              <w:right w:val="none"/>
              <w:bottom w:val="single" w:sz="4"/>
            </w:tcBorders>
          </w:tcPr>
          <w:p>
            <w:pPr>
              <w:jc w:val="left"/>
            </w:pPr>
            <w:r>
              <w:t>Sintetiza las ideas principales desarrolladas en la monografía.</w:t>
              <w:br/>
              <w:t>Responde al objetivo o problema planteado en la introducción.</w:t>
              <w:br/>
              <w:t>Presenta reflexión final y/o recomendaciones si corresponde.</w:t>
            </w:r>
          </w:p>
        </w:tc>
      </w:tr>
      <w:tr>
        <w:tc>
          <w:tcPr>
            <w:tcW w:type="dxa" w:w="4513"/>
            <w:tcBorders>
              <w:left w:val="none"/>
              <w:right w:val="none"/>
              <w:bottom w:val="single" w:sz="4"/>
            </w:tcBorders>
          </w:tcPr>
          <w:p>
            <w:pPr>
              <w:jc w:val="left"/>
            </w:pPr>
            <w:r>
              <w:t>Fuentes de consulta</w:t>
            </w:r>
          </w:p>
        </w:tc>
        <w:tc>
          <w:tcPr>
            <w:tcW w:type="dxa" w:w="4513"/>
            <w:tcBorders>
              <w:left w:val="none"/>
              <w:right w:val="none"/>
              <w:bottom w:val="single" w:sz="4"/>
            </w:tcBorders>
          </w:tcPr>
          <w:p>
            <w:pPr>
              <w:jc w:val="left"/>
            </w:pPr>
            <w:r>
              <w:t>Presenta las referencias bibliográficas utilizadas.</w:t>
              <w:br/>
              <w:t>Las referencias están redactadas según normas APA.</w:t>
            </w:r>
          </w:p>
        </w:tc>
      </w:tr>
      <w:tr>
        <w:tc>
          <w:tcPr>
            <w:tcW w:type="dxa" w:w="4513"/>
            <w:tcBorders>
              <w:left w:val="none"/>
              <w:right w:val="none"/>
              <w:bottom w:val="single" w:sz="4"/>
            </w:tcBorders>
          </w:tcPr>
          <w:p>
            <w:pPr>
              <w:jc w:val="left"/>
            </w:pPr>
            <w:r>
              <w:t>Presentación</w:t>
            </w:r>
          </w:p>
        </w:tc>
        <w:tc>
          <w:tcPr>
            <w:tcW w:type="dxa" w:w="4513"/>
            <w:tcBorders>
              <w:left w:val="none"/>
              <w:right w:val="none"/>
              <w:bottom w:val="single" w:sz="4"/>
            </w:tcBorders>
          </w:tcPr>
          <w:p>
            <w:pPr>
              <w:jc w:val="left"/>
            </w:pPr>
            <w:r>
              <w:t>Entrega el trabajo en el tiempo establecido y con formato adecuado.</w:t>
            </w:r>
          </w:p>
        </w:tc>
      </w:tr>
    </w:tbl>
    <w:p>
      <w:pPr>
        <w:spacing w:line="480" w:lineRule="auto"/>
        <w:ind w:firstLine="720"/>
      </w:pPr>
      <w:r>
        <w:rPr>
          <w:rFonts w:ascii="Times New Roman" w:hAnsi="Times New Roman"/>
          <w:sz w:val="24"/>
        </w:rPr>
        <w:br w:type="page"/>
      </w:r>
    </w:p>
    <w:p>
      <w:pPr>
        <w:spacing w:line="480" w:lineRule="auto"/>
        <w:ind w:firstLine="720"/>
      </w:pPr>
      <w:r>
        <w:rPr>
          <w:rFonts w:ascii="Times New Roman" w:hAnsi="Times New Roman"/>
          <w:sz w:val="24"/>
        </w:rPr>
        <w:br w:type="page"/>
      </w:r>
    </w:p>
    <w:p>
      <w:pPr>
        <w:spacing w:line="480" w:lineRule="auto"/>
        <w:ind w:firstLine="720"/>
        <w:jc w:val="center"/>
      </w:pPr>
      <w:r>
        <w:rPr>
          <w:rFonts w:ascii="Times New Roman" w:hAnsi="Times New Roman"/>
          <w:b/>
          <w:sz w:val="24"/>
        </w:rPr>
        <w:t>ÚLTIMA HOJA DE ANÁLISIS DEL DOCUMENTO</w:t>
      </w:r>
    </w:p>
    <w:p/>
    <w:p>
      <w:pPr>
        <w:spacing w:line="480" w:lineRule="auto"/>
        <w:ind w:firstLine="720"/>
        <w:jc w:val="left"/>
      </w:pPr>
      <w:r>
        <w:rPr>
          <w:rFonts w:ascii="Times New Roman" w:hAnsi="Times New Roman"/>
          <w:sz w:val="24"/>
        </w:rPr>
        <w:t>Institución: Instituto Superior Centuria</w:t>
        <w:br/>
      </w:r>
      <w:r>
        <w:rPr>
          <w:rFonts w:ascii="Times New Roman" w:hAnsi="Times New Roman"/>
          <w:sz w:val="24"/>
        </w:rPr>
        <w:t>Título: Gestión contable y financiera del Impuesto Inmobiliario en el Departamento de Catastro de la Municipalidad de Asunción</w:t>
        <w:br/>
      </w:r>
      <w:r>
        <w:rPr>
          <w:rFonts w:ascii="Times New Roman" w:hAnsi="Times New Roman"/>
          <w:sz w:val="24"/>
        </w:rPr>
        <w:t>Autor: Lic. Christhian Jose Raul Keim</w:t>
        <w:br/>
      </w:r>
      <w:r>
        <w:rPr>
          <w:rFonts w:ascii="Times New Roman" w:hAnsi="Times New Roman"/>
          <w:sz w:val="24"/>
        </w:rPr>
        <w:t>Fecha de cierre: 16/07/2026</w:t>
      </w:r>
    </w:p>
    <w:p/>
    <w:p>
      <w:pPr>
        <w:spacing w:line="480" w:lineRule="auto"/>
        <w:ind w:firstLine="720"/>
        <w:jc w:val="left"/>
      </w:pPr>
      <w:r>
        <w:rPr>
          <w:rFonts w:ascii="Times New Roman" w:hAnsi="Times New Roman"/>
          <w:b/>
          <w:sz w:val="24"/>
        </w:rPr>
        <w:t>1. Estado del Documento</w:t>
      </w:r>
    </w:p>
    <w:p>
      <w:pPr>
        <w:spacing w:line="480" w:lineRule="auto"/>
        <w:ind w:left="720" w:firstLine="720"/>
      </w:pPr>
      <w:r>
        <w:rPr>
          <w:rFonts w:ascii="Times New Roman" w:hAnsi="Times New Roman"/>
          <w:sz w:val="24"/>
        </w:rPr>
        <w:t>• Versión: Versión final certificada.</w:t>
      </w:r>
    </w:p>
    <w:p>
      <w:pPr>
        <w:spacing w:line="480" w:lineRule="auto"/>
        <w:ind w:left="720" w:firstLine="720"/>
      </w:pPr>
      <w:r>
        <w:rPr>
          <w:rFonts w:ascii="Times New Roman" w:hAnsi="Times New Roman"/>
          <w:sz w:val="24"/>
        </w:rPr>
        <w:t>• Nivel de completitud: Terminado, con secciones completas y anexos.</w:t>
      </w:r>
    </w:p>
    <w:p>
      <w:pPr>
        <w:spacing w:line="480" w:lineRule="auto"/>
        <w:ind w:left="720" w:firstLine="720"/>
      </w:pPr>
      <w:r>
        <w:rPr>
          <w:rFonts w:ascii="Times New Roman" w:hAnsi="Times New Roman"/>
          <w:sz w:val="24"/>
        </w:rPr>
        <w:t>• Validación: Pendiente de aprobación formal por tutor / comité académico.</w:t>
      </w:r>
    </w:p>
    <w:p/>
    <w:p>
      <w:pPr>
        <w:spacing w:line="480" w:lineRule="auto"/>
        <w:ind w:firstLine="720"/>
        <w:jc w:val="left"/>
      </w:pPr>
      <w:r>
        <w:rPr>
          <w:rFonts w:ascii="Times New Roman" w:hAnsi="Times New Roman"/>
          <w:b/>
          <w:sz w:val="24"/>
        </w:rPr>
        <w:t>2. Diagnóstico de Calidad</w:t>
      </w:r>
    </w:p>
    <w:p>
      <w:pPr>
        <w:spacing w:line="480" w:lineRule="auto"/>
        <w:ind w:left="720" w:firstLine="720"/>
      </w:pPr>
      <w:r>
        <w:rPr>
          <w:rFonts w:ascii="Times New Roman" w:hAnsi="Times New Roman"/>
          <w:sz w:val="24"/>
        </w:rPr>
        <w:t>• Originalidad estimada: Bajo riesgo de similitud; redacción fundamentada en fuentes oficiales y análisis propio.</w:t>
      </w:r>
    </w:p>
    <w:p>
      <w:pPr>
        <w:spacing w:line="480" w:lineRule="auto"/>
        <w:ind w:left="720" w:firstLine="720"/>
      </w:pPr>
      <w:r>
        <w:rPr>
          <w:rFonts w:ascii="Times New Roman" w:hAnsi="Times New Roman"/>
          <w:sz w:val="24"/>
        </w:rPr>
        <w:t>• Uso de IA: Asistencia en edición y formato; contenido desarrollado por el autor con humanización aplicada.</w:t>
      </w:r>
    </w:p>
    <w:p>
      <w:pPr>
        <w:spacing w:line="480" w:lineRule="auto"/>
        <w:ind w:left="720" w:firstLine="720"/>
      </w:pPr>
      <w:r>
        <w:rPr>
          <w:rFonts w:ascii="Times New Roman" w:hAnsi="Times New Roman"/>
          <w:sz w:val="24"/>
        </w:rPr>
        <w:t>• Normas académicas: Cumplimiento de APA 7.ª edición, estructura institucional y estilo protocolar.</w:t>
      </w:r>
    </w:p>
    <w:p>
      <w:pPr>
        <w:spacing w:line="480" w:lineRule="auto"/>
        <w:ind w:left="720" w:firstLine="720"/>
      </w:pPr>
      <w:r>
        <w:rPr>
          <w:rFonts w:ascii="Times New Roman" w:hAnsi="Times New Roman"/>
          <w:sz w:val="24"/>
        </w:rPr>
        <w:t>• Claridad y coherencia: Narrativa continua, estructura lógica y redacción solemne.</w:t>
      </w:r>
    </w:p>
    <w:p>
      <w:pPr>
        <w:spacing w:line="480" w:lineRule="auto"/>
        <w:ind w:left="720" w:firstLine="720"/>
      </w:pPr>
      <w:r>
        <w:rPr>
          <w:rFonts w:ascii="Times New Roman" w:hAnsi="Times New Roman"/>
          <w:sz w:val="24"/>
        </w:rPr>
        <w:t>• Índice: los campos TOC fueron insertados; para ver paginación e hipervínculos, abrir en Word y ejecutar Ctrl+A, F9.</w:t>
      </w:r>
    </w:p>
    <w:p/>
    <w:p>
      <w:pPr>
        <w:spacing w:line="480" w:lineRule="auto"/>
        <w:ind w:firstLine="720"/>
        <w:jc w:val="left"/>
      </w:pPr>
      <w:r>
        <w:rPr>
          <w:rFonts w:ascii="Times New Roman" w:hAnsi="Times New Roman"/>
          <w:b/>
          <w:sz w:val="24"/>
        </w:rPr>
        <w:t>3. Recomendaciones Finales</w:t>
      </w:r>
    </w:p>
    <w:p>
      <w:pPr>
        <w:spacing w:line="480" w:lineRule="auto"/>
        <w:ind w:left="720" w:firstLine="720"/>
      </w:pPr>
      <w:r>
        <w:rPr>
          <w:rFonts w:ascii="Times New Roman" w:hAnsi="Times New Roman"/>
          <w:sz w:val="24"/>
        </w:rPr>
        <w:t>• Verificar actualización dinámica de números de página en el Índice al cerrar en Word.</w:t>
      </w:r>
    </w:p>
    <w:p>
      <w:pPr>
        <w:spacing w:line="480" w:lineRule="auto"/>
        <w:ind w:left="720" w:firstLine="720"/>
      </w:pPr>
      <w:r>
        <w:rPr>
          <w:rFonts w:ascii="Times New Roman" w:hAnsi="Times New Roman"/>
          <w:sz w:val="24"/>
        </w:rPr>
        <w:t>• Validar correspondencia exacta entre títulos del índice y cuerpo del documento.</w:t>
      </w:r>
    </w:p>
    <w:p>
      <w:pPr>
        <w:spacing w:line="480" w:lineRule="auto"/>
        <w:ind w:left="720" w:firstLine="720"/>
      </w:pPr>
      <w:r>
        <w:rPr>
          <w:rFonts w:ascii="Times New Roman" w:hAnsi="Times New Roman"/>
          <w:sz w:val="24"/>
        </w:rPr>
        <w:t>• Completar firmas y sello institucional una vez aprobado por el comité.</w:t>
      </w:r>
    </w:p>
    <w:p/>
    <w:p>
      <w:pPr>
        <w:spacing w:line="480" w:lineRule="auto"/>
        <w:ind w:firstLine="720"/>
        <w:jc w:val="left"/>
      </w:pPr>
      <w:r>
        <w:rPr>
          <w:rFonts w:ascii="Times New Roman" w:hAnsi="Times New Roman"/>
          <w:b/>
          <w:sz w:val="24"/>
        </w:rPr>
        <w:t>4. Dictamen</w:t>
      </w:r>
    </w:p>
    <w:p>
      <w:pPr>
        <w:spacing w:line="480" w:lineRule="auto"/>
        <w:ind w:firstLine="720"/>
      </w:pPr>
      <w:r>
        <w:rPr>
          <w:rFonts w:ascii="Times New Roman" w:hAnsi="Times New Roman"/>
          <w:sz w:val="24"/>
        </w:rPr>
        <w:t>El presente documento se declara conforme con los estándares académicos exigidos por la institución y apto para su revisión, depósito y defensa, debiendo completar la firma del tutor y el sello oficial.</w:t>
      </w:r>
    </w:p>
    <w:p/>
    <w:p>
      <w:pPr>
        <w:spacing w:line="480" w:lineRule="auto"/>
        <w:ind w:firstLine="720"/>
        <w:jc w:val="left"/>
      </w:pPr>
      <w:r>
        <w:rPr>
          <w:rFonts w:ascii="Times New Roman" w:hAnsi="Times New Roman"/>
          <w:b/>
          <w:sz w:val="24"/>
        </w:rPr>
        <w:t>5. Firma y Validación</w:t>
      </w:r>
    </w:p>
    <w:p>
      <w:pPr>
        <w:spacing w:line="480" w:lineRule="auto"/>
        <w:ind w:left="720" w:firstLine="720"/>
      </w:pPr>
      <w:r>
        <w:rPr>
          <w:rFonts w:ascii="Times New Roman" w:hAnsi="Times New Roman"/>
          <w:sz w:val="24"/>
        </w:rPr>
        <w:t>• Tutor / Responsable: _______________________________________</w:t>
      </w:r>
    </w:p>
    <w:p>
      <w:pPr>
        <w:spacing w:line="480" w:lineRule="auto"/>
        <w:ind w:left="720" w:firstLine="720"/>
      </w:pPr>
      <w:r>
        <w:rPr>
          <w:rFonts w:ascii="Times New Roman" w:hAnsi="Times New Roman"/>
          <w:sz w:val="24"/>
        </w:rPr>
        <w:t>• Cargo: ___________________________________________________</w:t>
      </w:r>
    </w:p>
    <w:p>
      <w:pPr>
        <w:spacing w:line="480" w:lineRule="auto"/>
        <w:ind w:left="720" w:firstLine="720"/>
      </w:pPr>
      <w:r>
        <w:rPr>
          <w:rFonts w:ascii="Times New Roman" w:hAnsi="Times New Roman"/>
          <w:sz w:val="24"/>
        </w:rPr>
        <w:t>• Sello institucional / QR de validación digital:</w:t>
      </w:r>
    </w:p>
    <w:p>
      <w:pPr>
        <w:spacing w:line="480" w:lineRule="auto"/>
        <w:ind w:left="720" w:firstLine="720"/>
      </w:pPr>
      <w:r>
        <w:rPr>
          <w:rFonts w:ascii="Times New Roman" w:hAnsi="Times New Roman"/>
          <w:sz w:val="24"/>
        </w:rPr>
        <w:t>• Fecha y lugar de emisión: __________________________________</w:t>
      </w:r>
    </w:p>
    <w:sectPr w:rsidR="00FC693F" w:rsidRPr="0006063C" w:rsidSect="00034616">
      <w:pgSz w:w="11906" w:h="16838"/>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