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3A6B" w:sz="4"/>
              <w:left w:val="single" w:color="1A3A6B" w:sz="4"/>
              <w:bottom w:val="single" w:color="1A3A6B" w:sz="4"/>
              <w:right w:val="single" w:color="1A3A6B" w:sz="4"/>
            </w:tcBorders>
            <w:shd w:fill="EBF3FC" w:val="clear"/>
            <w:tcMar>
              <w:top w:type="dxa" w:w="100"/>
              <w:left w:type="dxa" w:w="140"/>
              <w:bottom w:type="dxa" w:w="100"/>
              <w:right w:type="dxa" w:w="140"/>
            </w:tcMar>
            <w:vAlign w:val="top"/>
          </w:tcPr>
          <w:p>
            <w:pPr>
              <w:spacing w:before="50" w:after="70"/>
              <w:jc w:val="center"/>
            </w:pPr>
            <w:r>
              <w:rPr>
                <w:rFonts w:ascii="Arial" w:cs="Arial" w:eastAsia="Arial" w:hAnsi="Arial"/>
                <w:b/>
                <w:bCs/>
                <w:color w:val="1A3A6B"/>
                <w:sz w:val="22"/>
                <w:szCs w:val="22"/>
              </w:rPr>
              <w:t xml:space="preserve">MAESTRÍA EN ADMINISTRACIÓN Y GESTIÓN PÚBLICA</w:t>
            </w:r>
          </w:p>
          <w:p>
            <w:pPr>
              <w:spacing w:before="50" w:after="70"/>
              <w:jc w:val="center"/>
            </w:pPr>
            <w:r>
              <w:rPr>
                <w:rFonts w:ascii="Arial" w:cs="Arial" w:eastAsia="Arial" w:hAnsi="Arial"/>
                <w:i/>
                <w:iCs/>
                <w:color w:val="566573"/>
                <w:sz w:val="19"/>
                <w:szCs w:val="19"/>
              </w:rPr>
              <w:t xml:space="preserve">Introducción a la Contabilidad Pública  ·  M-AGP04</w:t>
            </w:r>
          </w:p>
        </w:tc>
      </w:tr>
    </w:tbl>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50" w:after="70"/>
              <w:jc w:val="center"/>
            </w:pPr>
            <w:r>
              <w:rPr>
                <w:rFonts w:ascii="Arial" w:cs="Arial" w:eastAsia="Arial" w:hAnsi="Arial"/>
                <w:b/>
                <w:bCs/>
                <w:color w:val="FFFFFF"/>
                <w:sz w:val="64"/>
                <w:szCs w:val="64"/>
              </w:rPr>
              <w:t xml:space="preserve">CLASE  1</w:t>
            </w:r>
          </w:p>
          <w:p>
            <w:pPr>
              <w:spacing w:before="50" w:after="70"/>
              <w:jc w:val="center"/>
            </w:pPr>
            <w:r>
              <w:rPr>
                <w:rFonts w:ascii="Arial" w:cs="Arial" w:eastAsia="Arial" w:hAnsi="Arial"/>
                <w:b/>
                <w:bCs/>
                <w:color w:val="C9A227"/>
                <w:sz w:val="28"/>
                <w:szCs w:val="28"/>
              </w:rPr>
              <w:t xml:space="preserve">FUNDAMENTOS DE LA CONTABILIDAD PÚBLICA</w:t>
            </w:r>
          </w:p>
          <w:p>
            <w:pPr>
              <w:spacing w:before="50" w:after="70"/>
              <w:jc w:val="center"/>
            </w:pPr>
            <w:r>
              <w:rPr>
                <w:rFonts w:ascii="Arial" w:cs="Arial" w:eastAsia="Arial" w:hAnsi="Arial"/>
                <w:b/>
                <w:bCs/>
                <w:color w:val="FFFFFF"/>
                <w:sz w:val="24"/>
                <w:szCs w:val="24"/>
              </w:rPr>
              <w:t xml:space="preserve">Y ECONOMÍA DEL SECTOR PÚBLICO</w:t>
            </w:r>
          </w:p>
          <w:p>
            <w:pPr>
              <w:spacing w:before="40"/>
            </w:pPr>
          </w:p>
          <w:p>
            <w:pPr>
              <w:spacing w:before="50" w:after="70"/>
              <w:jc w:val="center"/>
            </w:pPr>
            <w:r>
              <w:rPr>
                <w:rFonts w:ascii="Arial" w:cs="Arial" w:eastAsia="Arial" w:hAnsi="Arial"/>
                <w:i/>
                <w:iCs/>
                <w:color w:val="C9A227"/>
                <w:sz w:val="20"/>
                <w:szCs w:val="20"/>
              </w:rPr>
              <w:t xml:space="preserve">Unidades I y II  ·  3 horas sincrónicas  ·  Google Meet</w:t>
            </w:r>
          </w:p>
        </w:tc>
      </w:tr>
    </w:tbl>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center"/>
          </w:tcPr>
          <w:p>
            <w:pPr>
              <w:spacing w:before="60" w:after="85"/>
              <w:jc w:val="both"/>
            </w:pPr>
            <w:r>
              <w:rPr>
                <w:rFonts w:ascii="Arial" w:cs="Arial" w:eastAsia="Arial" w:hAnsi="Arial"/>
                <w:b/>
                <w:bCs/>
                <w:color w:val="1A3A6B"/>
                <w:sz w:val="21"/>
                <w:szCs w:val="21"/>
              </w:rPr>
              <w:t xml:space="preserve">Objetivo:</w:t>
            </w:r>
          </w:p>
        </w:tc>
        <w:tc>
          <w:tcPr>
            <w:tcBorders>
              <w:top w:val="single" w:color="1A3A6B" w:sz="4"/>
              <w:left w:val="single" w:color="1A3A6B" w:sz="4"/>
              <w:bottom w:val="single" w:color="1A3A6B" w:sz="4"/>
              <w:right w:val="single" w:color="1A3A6B" w:sz="4"/>
            </w:tcBorders>
            <w:tcMar>
              <w:top w:type="dxa" w:w="100"/>
              <w:left w:type="dxa" w:w="140"/>
              <w:bottom w:type="dxa" w:w="100"/>
              <w:right w:type="dxa" w:w="140"/>
            </w:tcMar>
            <w:vAlign w:val="top"/>
          </w:tcPr>
          <w:p>
            <w:pPr>
              <w:spacing w:before="60" w:after="85"/>
              <w:jc w:val="both"/>
            </w:pPr>
            <w:r>
              <w:rPr>
                <w:rFonts w:ascii="Arial" w:cs="Arial" w:eastAsia="Arial" w:hAnsi="Arial"/>
                <w:color w:val="0D1B2A"/>
                <w:sz w:val="22"/>
                <w:szCs w:val="22"/>
              </w:rPr>
              <w:t xml:space="preserve">Analizar los fundamentos y principios de la Contabilidad Pública y su relación con la Economía del Sector Público paraguayo.</w:t>
            </w:r>
          </w:p>
        </w:tc>
      </w:tr>
      <w:tr>
        <w:tc>
          <w:tcPr>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center"/>
          </w:tcPr>
          <w:p>
            <w:pPr>
              <w:spacing w:before="60" w:after="85"/>
              <w:jc w:val="both"/>
            </w:pPr>
            <w:r>
              <w:rPr>
                <w:rFonts w:ascii="Arial" w:cs="Arial" w:eastAsia="Arial" w:hAnsi="Arial"/>
                <w:b/>
                <w:bCs/>
                <w:color w:val="1A3A6B"/>
                <w:sz w:val="21"/>
                <w:szCs w:val="21"/>
              </w:rPr>
              <w:t xml:space="preserve">Contiene:</w:t>
            </w:r>
          </w:p>
        </w:tc>
        <w:tc>
          <w:tcPr>
            <w:tcBorders>
              <w:top w:val="single" w:color="1A3A6B" w:sz="4"/>
              <w:left w:val="single" w:color="1A3A6B" w:sz="4"/>
              <w:bottom w:val="single" w:color="1A3A6B" w:sz="4"/>
              <w:right w:val="single" w:color="1A3A6B" w:sz="4"/>
            </w:tcBorders>
            <w:tcMar>
              <w:top w:type="dxa" w:w="100"/>
              <w:left w:type="dxa" w:w="140"/>
              <w:bottom w:type="dxa" w:w="100"/>
              <w:right w:type="dxa" w:w="140"/>
            </w:tcMar>
            <w:vAlign w:val="top"/>
          </w:tcPr>
          <w:p>
            <w:pPr>
              <w:spacing w:before="60" w:after="85"/>
              <w:jc w:val="both"/>
            </w:pPr>
            <w:r>
              <w:rPr>
                <w:rFonts w:ascii="Arial" w:cs="Arial" w:eastAsia="Arial" w:hAnsi="Arial"/>
                <w:color w:val="0D1B2A"/>
                <w:sz w:val="22"/>
                <w:szCs w:val="22"/>
              </w:rPr>
              <w:t xml:space="preserve">Teoría magistral · Ejemplos ilustrativos · Ejercicios resueltos · Ejercicios para el alumno</w:t>
            </w:r>
          </w:p>
        </w:tc>
      </w:tr>
      <w:tr>
        <w:tc>
          <w:tcPr>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center"/>
          </w:tcPr>
          <w:p>
            <w:pPr>
              <w:spacing w:before="60" w:after="85"/>
              <w:jc w:val="both"/>
            </w:pPr>
            <w:r>
              <w:rPr>
                <w:rFonts w:ascii="Arial" w:cs="Arial" w:eastAsia="Arial" w:hAnsi="Arial"/>
                <w:b/>
                <w:bCs/>
                <w:color w:val="1A3A6B"/>
                <w:sz w:val="21"/>
                <w:szCs w:val="21"/>
              </w:rPr>
              <w:t xml:space="preserve">Estudiante:</w:t>
            </w:r>
          </w:p>
        </w:tc>
        <w:tc>
          <w:tcPr>
            <w:tcBorders>
              <w:top w:val="single" w:color="1A3A6B" w:sz="4"/>
              <w:left w:val="single" w:color="1A3A6B" w:sz="4"/>
              <w:bottom w:val="single" w:color="1A3A6B" w:sz="4"/>
              <w:right w:val="single" w:color="1A3A6B" w:sz="4"/>
            </w:tcBorders>
            <w:tcMar>
              <w:top w:type="dxa" w:w="100"/>
              <w:left w:type="dxa" w:w="140"/>
              <w:bottom w:type="dxa" w:w="100"/>
              <w:right w:type="dxa" w:w="140"/>
            </w:tcMar>
            <w:vAlign w:val="top"/>
          </w:tcPr>
          <w:p>
            <w:pPr>
              <w:spacing w:before="60" w:after="85"/>
              <w:jc w:val="both"/>
            </w:pPr>
            <w:r>
              <w:rPr>
                <w:rFonts w:ascii="Arial" w:cs="Arial" w:eastAsia="Arial" w:hAnsi="Arial"/>
                <w:color w:val="0D1B2A"/>
                <w:sz w:val="22"/>
                <w:szCs w:val="22"/>
              </w:rPr>
              <w:t xml:space="preserve">_______________________________________________</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110" w:after="110"/>
              <w:jc w:val="center"/>
            </w:pPr>
            <w:r>
              <w:rPr>
                <w:rFonts w:ascii="Arial" w:cs="Arial" w:eastAsia="Arial" w:hAnsi="Arial"/>
                <w:b/>
                <w:bCs/>
                <w:color w:val="FFFFFF"/>
                <w:sz w:val="30"/>
                <w:szCs w:val="30"/>
              </w:rPr>
              <w:t xml:space="preserve">📖  BLOQUE 1  —  ¿QUÉ ES LA CONTABILIDAD PÚBLICA?</w:t>
            </w:r>
          </w:p>
        </w:tc>
      </w:tr>
    </w:tbl>
    <w:p>
      <w:pPr>
        <w:spacing w:before="80"/>
      </w:pPr>
    </w:p>
    <w:p>
      <w:pPr>
        <w:pBdr>
          <w:bottom w:val="single" w:color="C9A227" w:sz="8" w:space="2"/>
        </w:pBdr>
        <w:spacing w:before="280" w:after="100"/>
      </w:pPr>
      <w:r>
        <w:rPr>
          <w:rFonts w:ascii="Arial" w:cs="Arial" w:eastAsia="Arial" w:hAnsi="Arial"/>
          <w:b/>
          <w:bCs/>
          <w:color w:val="1A3A6B"/>
          <w:sz w:val="26"/>
          <w:szCs w:val="26"/>
        </w:rPr>
        <w:t xml:space="preserve">1.1  Definición y propósito</w:t>
      </w:r>
    </w:p>
    <w:p>
      <w:pPr>
        <w:spacing w:before="60" w:after="85"/>
        <w:jc w:val="both"/>
      </w:pPr>
      <w:r>
        <w:rPr>
          <w:rFonts w:ascii="Arial" w:cs="Arial" w:eastAsia="Arial" w:hAnsi="Arial"/>
          <w:color w:val="0D1B2A"/>
          <w:sz w:val="22"/>
          <w:szCs w:val="22"/>
        </w:rPr>
        <w:t xml:space="preserve">Imaginemos por un momento que el Estado es una empresa gigante. Tiene ingresos (impuestos, préstamos, donaciones), tiene gastos (sueldos, hospitales, rutas), tiene activos (edificios, equipos, inversiones) y tiene deudas (bonos del tesoro, préstamos con el BID). Alguien tiene que registrar todo eso con rigor, transparencia y en tiempo real. Ese 'alguien' es la Contabilidad Pública.</w:t>
      </w:r>
    </w:p>
    <w:p>
      <w:pPr>
        <w:spacing w:before="60" w:after="85"/>
        <w:jc w:val="both"/>
      </w:pPr>
      <w:r>
        <w:rPr>
          <w:rFonts w:ascii="Arial" w:cs="Arial" w:eastAsia="Arial" w:hAnsi="Arial"/>
          <w:color w:val="0D1B2A"/>
          <w:sz w:val="22"/>
          <w:szCs w:val="22"/>
        </w:rPr>
        <w:t xml:space="preserve">Pero a diferencia de una empresa privada que contabiliza para saber si gana o pierde dinero, el Estado contabiliza para rendir cuentas a la sociedad. El dueño del Estado no es un accionista: es el ciudadano. Y el ciudadano tiene el derecho de saber exactamente en qué se gasta cada guaraní de sus impuestos.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70" w:after="70"/>
            </w:pPr>
            <w:r>
              <w:rPr>
                <w:rFonts w:ascii="Arial" w:cs="Arial" w:eastAsia="Arial" w:hAnsi="Arial"/>
                <w:b/>
                <w:bCs/>
                <w:color w:val="FFFFFF"/>
                <w:sz w:val="21"/>
                <w:szCs w:val="21"/>
              </w:rPr>
              <w:t xml:space="preserve">📌  DEFINICIÓN FORMAL</w:t>
            </w:r>
          </w:p>
        </w:tc>
      </w:tr>
      <w:tr>
        <w:tc>
          <w:tcPr>
            <w:tcBorders>
              <w:top w:val="single" w:color="1A3A6B" w:sz="4"/>
              <w:left w:val="single" w:color="1A3A6B" w:sz="4"/>
              <w:bottom w:val="single" w:color="1A3A6B" w:sz="4"/>
              <w:right w:val="single" w:color="1A3A6B" w:sz="4"/>
            </w:tcBorders>
            <w:shd w:fill="EBF3FC" w:val="clear"/>
            <w:tcMar>
              <w:top w:type="dxa" w:w="100"/>
              <w:left w:type="dxa" w:w="140"/>
              <w:bottom w:type="dxa" w:w="100"/>
              <w:right w:type="dxa" w:w="140"/>
            </w:tcMar>
            <w:vAlign w:val="top"/>
          </w:tcPr>
          <w:p>
            <w:pPr>
              <w:spacing w:before="100" w:after="100"/>
              <w:jc w:val="both"/>
            </w:pPr>
            <w:r>
              <w:rPr>
                <w:rFonts w:ascii="Arial" w:cs="Arial" w:eastAsia="Arial" w:hAnsi="Arial"/>
                <w:color w:val="0D1B2A"/>
                <w:sz w:val="22"/>
                <w:szCs w:val="22"/>
              </w:rPr>
              <w:t xml:space="preserve">La Contabilidad Pública es el subsistema de la Administración Financiera del Estado que registra, clasifica, procesa y comunica todos los hechos económico-financieros que afectan el patrimonio del Sector Público, con el propósito de producir información confiable, oportuna y comparable para la gestión, el control y la rendición de cuentas ante la ciudadanía y los poderes del Estado. (Ley 1535/99, Art. 59 — Paraguay)</w:t>
            </w:r>
          </w:p>
        </w:tc>
      </w:tr>
    </w:tbl>
    <w:p>
      <w:pPr>
        <w:spacing w:before="40"/>
      </w:pPr>
    </w:p>
    <w:p>
      <w:pPr>
        <w:pBdr>
          <w:left w:val="single" w:color="C9A227" w:sz="16" w:space="8"/>
        </w:pBdr>
        <w:spacing w:before="200" w:after="70"/>
        <w:ind w:left="160"/>
      </w:pPr>
      <w:r>
        <w:rPr>
          <w:rFonts w:ascii="Arial" w:cs="Arial" w:eastAsia="Arial" w:hAnsi="Arial"/>
          <w:b/>
          <w:bCs/>
          <w:color w:val="1A3A6B"/>
          <w:sz w:val="23"/>
          <w:szCs w:val="23"/>
        </w:rPr>
        <w:t xml:space="preserve">¿Qué hace exactamente la Contabilidad Pública?</w:t>
      </w:r>
    </w:p>
    <w:p>
      <w:pPr>
        <w:pStyle w:val="ListParagraph"/>
        <w:numPr>
          <w:ilvl w:val="0"/>
          <w:numId w:val="2"/>
        </w:numPr>
        <w:spacing w:before="45" w:after="45"/>
      </w:pPr>
      <w:r>
        <w:rPr>
          <w:rFonts w:ascii="Arial" w:cs="Arial" w:eastAsia="Arial" w:hAnsi="Arial"/>
          <w:color w:val="0D1B2A"/>
          <w:sz w:val="22"/>
          <w:szCs w:val="22"/>
        </w:rPr>
        <w:t xml:space="preserve">REGISTRA: cada transacción del Estado — desde el pago de un sueldo hasta la compra de un avión de la FAP.</w:t>
      </w:r>
    </w:p>
    <w:p>
      <w:pPr>
        <w:pStyle w:val="ListParagraph"/>
        <w:numPr>
          <w:ilvl w:val="0"/>
          <w:numId w:val="2"/>
        </w:numPr>
        <w:spacing w:before="45" w:after="45"/>
      </w:pPr>
      <w:r>
        <w:rPr>
          <w:rFonts w:ascii="Arial" w:cs="Arial" w:eastAsia="Arial" w:hAnsi="Arial"/>
          <w:color w:val="0D1B2A"/>
          <w:sz w:val="22"/>
          <w:szCs w:val="22"/>
        </w:rPr>
        <w:t xml:space="preserve">CLASIFICA: ordena las transacciones según el Plan de Cuentas del Sector Público paraguayo.</w:t>
      </w:r>
    </w:p>
    <w:p>
      <w:pPr>
        <w:pStyle w:val="ListParagraph"/>
        <w:numPr>
          <w:ilvl w:val="0"/>
          <w:numId w:val="2"/>
        </w:numPr>
        <w:spacing w:before="45" w:after="45"/>
      </w:pPr>
      <w:r>
        <w:rPr>
          <w:rFonts w:ascii="Arial" w:cs="Arial" w:eastAsia="Arial" w:hAnsi="Arial"/>
          <w:color w:val="0D1B2A"/>
          <w:sz w:val="22"/>
          <w:szCs w:val="22"/>
        </w:rPr>
        <w:t xml:space="preserve">PROCESA: consolida la información de todas las instituciones del Estado.</w:t>
      </w:r>
    </w:p>
    <w:p>
      <w:pPr>
        <w:pStyle w:val="ListParagraph"/>
        <w:numPr>
          <w:ilvl w:val="0"/>
          <w:numId w:val="2"/>
        </w:numPr>
        <w:spacing w:before="45" w:after="45"/>
      </w:pPr>
      <w:r>
        <w:rPr>
          <w:rFonts w:ascii="Arial" w:cs="Arial" w:eastAsia="Arial" w:hAnsi="Arial"/>
          <w:color w:val="0D1B2A"/>
          <w:sz w:val="22"/>
          <w:szCs w:val="22"/>
        </w:rPr>
        <w:t xml:space="preserve">COMUNICA: produce la Cuenta General del Ejercicio Fiscal que se presenta al Congreso y a la Contraloría General de la República.</w:t>
      </w:r>
    </w:p>
    <w:p>
      <w:pPr>
        <w:spacing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tcBorders>
              <w:top w:val="single" w:color="C9A227" w:sz="4"/>
              <w:left w:val="single" w:color="C9A227" w:sz="4"/>
              <w:bottom w:val="single" w:color="C9A227" w:sz="4"/>
              <w:right w:val="single" w:color="C9A227" w:sz="4"/>
            </w:tcBorders>
            <w:shd w:fill="FFFACD" w:val="clear"/>
            <w:tcMar>
              <w:top w:type="dxa" w:w="100"/>
              <w:left w:type="dxa" w:w="140"/>
              <w:bottom w:type="dxa" w:w="100"/>
              <w:right w:type="dxa" w:w="140"/>
            </w:tcMar>
            <w:vAlign w:val="center"/>
          </w:tcPr>
          <w:p>
            <w:pPr>
              <w:spacing w:before="50" w:after="70"/>
              <w:jc w:val="center"/>
            </w:pPr>
            <w:r>
              <w:rPr>
                <w:rFonts w:ascii="Arial" w:cs="Arial" w:eastAsia="Arial" w:hAnsi="Arial"/>
                <w:b/>
                <w:bCs/>
                <w:color w:val="0D1B2A"/>
                <w:sz w:val="28"/>
                <w:szCs w:val="28"/>
              </w:rPr>
              <w:t xml:space="preserve">💡</w:t>
            </w:r>
          </w:p>
        </w:tc>
        <w:tc>
          <w:tcPr>
            <w:tcBorders>
              <w:top w:val="single" w:color="C9A227" w:sz="4"/>
              <w:left w:val="single" w:color="C9A227" w:sz="4"/>
              <w:bottom w:val="single" w:color="C9A227" w:sz="4"/>
              <w:right w:val="single" w:color="C9A227" w:sz="4"/>
            </w:tcBorders>
            <w:shd w:fill="FFFACD" w:val="clear"/>
            <w:tcMar>
              <w:top w:type="dxa" w:w="100"/>
              <w:left w:type="dxa" w:w="140"/>
              <w:bottom w:type="dxa" w:w="100"/>
              <w:right w:type="dxa" w:w="140"/>
            </w:tcMar>
            <w:vAlign w:val="top"/>
          </w:tcPr>
          <w:p>
            <w:pPr>
              <w:spacing w:before="80" w:after="80"/>
              <w:jc w:val="both"/>
            </w:pPr>
            <w:r>
              <w:rPr>
                <w:rFonts w:ascii="Arial" w:cs="Arial" w:eastAsia="Arial" w:hAnsi="Arial"/>
                <w:color w:val="0D1B2A"/>
                <w:sz w:val="21"/>
                <w:szCs w:val="21"/>
              </w:rPr>
              <w:t xml:space="preserve">En Paraguay, la Dirección General de Contabilidad Pública (DGCP), dependiente del Ministerio de Hacienda, es el organismo rector del sistema. Todas las instituciones del Estado deben reportarle.</w:t>
            </w:r>
          </w:p>
        </w:tc>
      </w:tr>
    </w:tbl>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5631" w:sz="4"/>
              <w:left w:val="single" w:color="1E5631" w:sz="4"/>
              <w:bottom w:val="single" w:color="1E5631" w:sz="4"/>
              <w:right w:val="single" w:color="1E5631" w:sz="4"/>
            </w:tcBorders>
            <w:shd w:fill="1E5631" w:val="clear"/>
            <w:tcMar>
              <w:top w:type="dxa" w:w="100"/>
              <w:left w:type="dxa" w:w="140"/>
              <w:bottom w:type="dxa" w:w="100"/>
              <w:right w:type="dxa" w:w="140"/>
            </w:tcMar>
            <w:vAlign w:val="top"/>
          </w:tcPr>
          <w:p>
            <w:pPr>
              <w:spacing w:before="75" w:after="75"/>
              <w:jc w:val="center"/>
            </w:pPr>
            <w:r>
              <w:rPr>
                <w:rFonts w:ascii="Arial" w:cs="Arial" w:eastAsia="Arial" w:hAnsi="Arial"/>
                <w:b/>
                <w:bCs/>
                <w:color w:val="FFFFFF"/>
                <w:sz w:val="20"/>
                <w:szCs w:val="20"/>
              </w:rPr>
              <w:t xml:space="preserve">✏️  EJEMPLO 1  —  ¿Por qué el Estado necesita Contabilidad Pública?</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65" w:after="65"/>
              <w:jc w:val="both"/>
            </w:pPr>
            <w:r>
              <w:rPr>
                <w:rFonts w:ascii="Arial" w:cs="Arial" w:eastAsia="Arial" w:hAnsi="Arial"/>
                <w:color w:val="0D1B2A"/>
                <w:sz w:val="21"/>
                <w:szCs w:val="21"/>
              </w:rPr>
              <w:t xml:space="preserve">Situación: El Ministerio de Salud recibe Gs. 500.000 millones de presupuesto en el año. Al final del ejercicio, el Ministro debe responder ante el Congreso: ¿Cuánto se gastó? ¿En qué? ¿Queda algún saldo? ¿Hubo desvíos?</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65" w:after="65"/>
              <w:jc w:val="both"/>
            </w:pPr>
            <w:r>
              <w:rPr>
                <w:rFonts w:ascii="Arial" w:cs="Arial" w:eastAsia="Arial" w:hAnsi="Arial"/>
                <w:color w:val="0D1B2A"/>
                <w:sz w:val="21"/>
                <w:szCs w:val="21"/>
              </w:rPr>
              <w:t xml:space="preserve">Sin contabilidad pública: el Ministro no puede responder con precisión. La información existe en planillas separadas, en sistemas distintos, sin consolidar. El Congreso no puede controlar. La ciudadanía no sabe qué pasó con su dinero.</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65" w:after="65"/>
              <w:jc w:val="both"/>
            </w:pPr>
            <w:r>
              <w:rPr>
                <w:rFonts w:ascii="Arial" w:cs="Arial" w:eastAsia="Arial" w:hAnsi="Arial"/>
                <w:color w:val="0D1B2A"/>
                <w:sz w:val="21"/>
                <w:szCs w:val="21"/>
              </w:rPr>
              <w:t xml:space="preserve">Con contabilidad pública: el sistema SIAF registra en tiempo real cada gasto. Al 31 de diciembre se puede saber exactamente que, por ejemplo, Gs. 320.000 millones se gastaron en medicamentos, Gs. 150.000 millones en personal y Gs. 30.000 millones quedan disponibles para el año siguiente.</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65" w:after="65"/>
              <w:jc w:val="both"/>
            </w:pPr>
            <w:r>
              <w:rPr>
                <w:rFonts w:ascii="Arial" w:cs="Arial" w:eastAsia="Arial" w:hAnsi="Arial"/>
                <w:color w:val="0D1B2A"/>
                <w:sz w:val="21"/>
                <w:szCs w:val="21"/>
              </w:rPr>
              <w:t xml:space="preserve">Conclusión: La Contabilidad Pública no es burocracia — es el instrumento que hace posible la democracia fiscal.</w:t>
            </w:r>
          </w:p>
        </w:tc>
      </w:tr>
    </w:tbl>
    <w:p>
      <w:pPr>
        <w:spacing w:before="80"/>
      </w:pPr>
    </w:p>
    <w:p>
      <w:pPr>
        <w:pBdr>
          <w:bottom w:val="single" w:color="C9A227" w:sz="8" w:space="2"/>
        </w:pBdr>
        <w:spacing w:before="280" w:after="100"/>
      </w:pPr>
      <w:r>
        <w:rPr>
          <w:rFonts w:ascii="Arial" w:cs="Arial" w:eastAsia="Arial" w:hAnsi="Arial"/>
          <w:b/>
          <w:bCs/>
          <w:color w:val="1A3A6B"/>
          <w:sz w:val="26"/>
          <w:szCs w:val="26"/>
        </w:rPr>
        <w:t xml:space="preserve">1.2  Diferencias entre Contabilidad Pública y Privada</w:t>
      </w:r>
    </w:p>
    <w:p>
      <w:pPr>
        <w:spacing w:before="60" w:after="85"/>
        <w:jc w:val="both"/>
      </w:pPr>
      <w:r>
        <w:rPr>
          <w:rFonts w:ascii="Arial" w:cs="Arial" w:eastAsia="Arial" w:hAnsi="Arial"/>
          <w:color w:val="0D1B2A"/>
          <w:sz w:val="22"/>
          <w:szCs w:val="22"/>
        </w:rPr>
        <w:t xml:space="preserve">Esta es una de las confusiones más frecuentes. Muchos profesionales que vienen del sector privado asumen que la contabilidad del Estado funciona igual que la de una empresa. Es un error importante. Las diferencias son profundas:</w:t>
      </w:r>
    </w:p>
    <w:p>
      <w:pPr>
        <w:spacing w:before="3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c>
          <w:tcPr>
            <w:tcW w:type="dxa" w:w="1800"/>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5" w:after="65"/>
              <w:jc w:val="center"/>
            </w:pPr>
            <w:r>
              <w:rPr>
                <w:rFonts w:ascii="Arial" w:cs="Arial" w:eastAsia="Arial" w:hAnsi="Arial"/>
                <w:b/>
                <w:bCs/>
                <w:color w:val="FFFFFF"/>
                <w:sz w:val="18"/>
                <w:szCs w:val="18"/>
              </w:rPr>
              <w:t xml:space="preserve">Aspecto</w:t>
            </w:r>
          </w:p>
        </w:tc>
        <w:tc>
          <w:tcPr>
            <w:tcW w:type="dxa" w:w="3613"/>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5" w:after="65"/>
              <w:jc w:val="center"/>
            </w:pPr>
            <w:r>
              <w:rPr>
                <w:rFonts w:ascii="Arial" w:cs="Arial" w:eastAsia="Arial" w:hAnsi="Arial"/>
                <w:b/>
                <w:bCs/>
                <w:color w:val="FFFFFF"/>
                <w:sz w:val="18"/>
                <w:szCs w:val="18"/>
              </w:rPr>
              <w:t xml:space="preserve">Contabilidad Privada</w:t>
            </w:r>
          </w:p>
        </w:tc>
        <w:tc>
          <w:tcPr>
            <w:tcW w:type="dxa" w:w="3613"/>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5" w:after="65"/>
              <w:jc w:val="center"/>
            </w:pPr>
            <w:r>
              <w:rPr>
                <w:rFonts w:ascii="Arial" w:cs="Arial" w:eastAsia="Arial" w:hAnsi="Arial"/>
                <w:b/>
                <w:bCs/>
                <w:color w:val="FFFFFF"/>
                <w:sz w:val="18"/>
                <w:szCs w:val="18"/>
              </w:rPr>
              <w:t xml:space="preserve">Contabilidad Pública</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left"/>
            </w:pPr>
            <w:r>
              <w:rPr>
                <w:rFonts w:ascii="Arial" w:cs="Arial" w:eastAsia="Arial" w:hAnsi="Arial"/>
                <w:b/>
                <w:bCs/>
                <w:color w:val="1A3A6B"/>
                <w:sz w:val="19"/>
                <w:szCs w:val="19"/>
              </w:rPr>
              <w:t xml:space="preserve">Objetivo principal</w:t>
            </w:r>
          </w:p>
        </w:tc>
        <w:tc>
          <w:tcPr>
            <w:tcW w:type="dxa" w:w="361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Determinar la ganancia o pérdida del ejercicio.</w:t>
            </w:r>
          </w:p>
        </w:tc>
        <w:tc>
          <w:tcPr>
            <w:tcW w:type="dxa" w:w="361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Rendir cuentas, controlar el uso de recursos públicos.</w:t>
            </w:r>
          </w:p>
        </w:tc>
      </w:tr>
      <w:tr>
        <w:tc>
          <w:tcPr>
            <w:tcW w:type="dxa" w:w="18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left"/>
            </w:pPr>
            <w:r>
              <w:rPr>
                <w:rFonts w:ascii="Arial" w:cs="Arial" w:eastAsia="Arial" w:hAnsi="Arial"/>
                <w:b/>
                <w:bCs/>
                <w:color w:val="1A3A6B"/>
                <w:sz w:val="19"/>
                <w:szCs w:val="19"/>
              </w:rPr>
              <w:t xml:space="preserve">Propietario / dueño</w:t>
            </w:r>
          </w:p>
        </w:tc>
        <w:tc>
          <w:tcPr>
            <w:tcW w:type="dxa" w:w="3613"/>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Accionistas o socios.</w:t>
            </w:r>
          </w:p>
        </w:tc>
        <w:tc>
          <w:tcPr>
            <w:tcW w:type="dxa" w:w="3613"/>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La ciudadanía (contribuyentes).</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left"/>
            </w:pPr>
            <w:r>
              <w:rPr>
                <w:rFonts w:ascii="Arial" w:cs="Arial" w:eastAsia="Arial" w:hAnsi="Arial"/>
                <w:b/>
                <w:bCs/>
                <w:color w:val="1A3A6B"/>
                <w:sz w:val="19"/>
                <w:szCs w:val="19"/>
              </w:rPr>
              <w:t xml:space="preserve">Fin de la actividad</w:t>
            </w:r>
          </w:p>
        </w:tc>
        <w:tc>
          <w:tcPr>
            <w:tcW w:type="dxa" w:w="361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Lucro — maximizar el retorno para los inversores.</w:t>
            </w:r>
          </w:p>
        </w:tc>
        <w:tc>
          <w:tcPr>
            <w:tcW w:type="dxa" w:w="361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Bien común — satisfacer necesidades colectivas.</w:t>
            </w:r>
          </w:p>
        </w:tc>
      </w:tr>
      <w:tr>
        <w:tc>
          <w:tcPr>
            <w:tcW w:type="dxa" w:w="18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left"/>
            </w:pPr>
            <w:r>
              <w:rPr>
                <w:rFonts w:ascii="Arial" w:cs="Arial" w:eastAsia="Arial" w:hAnsi="Arial"/>
                <w:b/>
                <w:bCs/>
                <w:color w:val="1A3A6B"/>
                <w:sz w:val="19"/>
                <w:szCs w:val="19"/>
              </w:rPr>
              <w:t xml:space="preserve">Base de registro</w:t>
            </w:r>
          </w:p>
        </w:tc>
        <w:tc>
          <w:tcPr>
            <w:tcW w:type="dxa" w:w="3613"/>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Base devengada (NIIF).</w:t>
            </w:r>
          </w:p>
        </w:tc>
        <w:tc>
          <w:tcPr>
            <w:tcW w:type="dxa" w:w="3613"/>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Base devengada + base caja según el módulo del SIAF.</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left"/>
            </w:pPr>
            <w:r>
              <w:rPr>
                <w:rFonts w:ascii="Arial" w:cs="Arial" w:eastAsia="Arial" w:hAnsi="Arial"/>
                <w:b/>
                <w:bCs/>
                <w:color w:val="1A3A6B"/>
                <w:sz w:val="19"/>
                <w:szCs w:val="19"/>
              </w:rPr>
              <w:t xml:space="preserve">Marco normativo</w:t>
            </w:r>
          </w:p>
        </w:tc>
        <w:tc>
          <w:tcPr>
            <w:tcW w:type="dxa" w:w="361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NIIF, NIIF para PYMES.</w:t>
            </w:r>
          </w:p>
        </w:tc>
        <w:tc>
          <w:tcPr>
            <w:tcW w:type="dxa" w:w="361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Ley 1535/99, Decreto 8127/00, NICSP, Plan de Cuentas MHCP.</w:t>
            </w:r>
          </w:p>
        </w:tc>
      </w:tr>
      <w:tr>
        <w:tc>
          <w:tcPr>
            <w:tcW w:type="dxa" w:w="18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left"/>
            </w:pPr>
            <w:r>
              <w:rPr>
                <w:rFonts w:ascii="Arial" w:cs="Arial" w:eastAsia="Arial" w:hAnsi="Arial"/>
                <w:b/>
                <w:bCs/>
                <w:color w:val="1A3A6B"/>
                <w:sz w:val="19"/>
                <w:szCs w:val="19"/>
              </w:rPr>
              <w:t xml:space="preserve">Control externo</w:t>
            </w:r>
          </w:p>
        </w:tc>
        <w:tc>
          <w:tcPr>
            <w:tcW w:type="dxa" w:w="3613"/>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Auditores independientes.</w:t>
            </w:r>
          </w:p>
        </w:tc>
        <w:tc>
          <w:tcPr>
            <w:tcW w:type="dxa" w:w="3613"/>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Contraloría General de la República + Congreso Nacional.</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left"/>
            </w:pPr>
            <w:r>
              <w:rPr>
                <w:rFonts w:ascii="Arial" w:cs="Arial" w:eastAsia="Arial" w:hAnsi="Arial"/>
                <w:b/>
                <w:bCs/>
                <w:color w:val="1A3A6B"/>
                <w:sz w:val="19"/>
                <w:szCs w:val="19"/>
              </w:rPr>
              <w:t xml:space="preserve">Presupuesto</w:t>
            </w:r>
          </w:p>
        </w:tc>
        <w:tc>
          <w:tcPr>
            <w:tcW w:type="dxa" w:w="361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Herramienta de gestión interna.</w:t>
            </w:r>
          </w:p>
        </w:tc>
        <w:tc>
          <w:tcPr>
            <w:tcW w:type="dxa" w:w="361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Instrumento legal con rango de ley — su incumplimiento es falta grave.</w:t>
            </w:r>
          </w:p>
        </w:tc>
      </w:tr>
      <w:tr>
        <w:tc>
          <w:tcPr>
            <w:tcW w:type="dxa" w:w="18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left"/>
            </w:pPr>
            <w:r>
              <w:rPr>
                <w:rFonts w:ascii="Arial" w:cs="Arial" w:eastAsia="Arial" w:hAnsi="Arial"/>
                <w:b/>
                <w:bCs/>
                <w:color w:val="1A3A6B"/>
                <w:sz w:val="19"/>
                <w:szCs w:val="19"/>
              </w:rPr>
              <w:t xml:space="preserve">Publicidad</w:t>
            </w:r>
          </w:p>
        </w:tc>
        <w:tc>
          <w:tcPr>
            <w:tcW w:type="dxa" w:w="3613"/>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Información reservada (salvo empresas cotizadas).</w:t>
            </w:r>
          </w:p>
        </w:tc>
        <w:tc>
          <w:tcPr>
            <w:tcW w:type="dxa" w:w="3613"/>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Obligatoriamente pública — portal de transparencia del MHCP.</w:t>
            </w:r>
          </w:p>
        </w:tc>
      </w:tr>
    </w:tbl>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tcBorders>
              <w:top w:val="single" w:color="7B241C" w:sz="4"/>
              <w:left w:val="single" w:color="7B241C" w:sz="4"/>
              <w:bottom w:val="single" w:color="7B241C" w:sz="4"/>
              <w:right w:val="single" w:color="7B241C" w:sz="4"/>
            </w:tcBorders>
            <w:shd w:fill="FDEDEC" w:val="clear"/>
            <w:tcMar>
              <w:top w:type="dxa" w:w="100"/>
              <w:left w:type="dxa" w:w="140"/>
              <w:bottom w:type="dxa" w:w="100"/>
              <w:right w:type="dxa" w:w="140"/>
            </w:tcMar>
            <w:vAlign w:val="center"/>
          </w:tcPr>
          <w:p>
            <w:pPr>
              <w:spacing w:before="50" w:after="70"/>
              <w:jc w:val="center"/>
            </w:pPr>
            <w:r>
              <w:rPr>
                <w:rFonts w:ascii="Arial" w:cs="Arial" w:eastAsia="Arial" w:hAnsi="Arial"/>
                <w:b/>
                <w:bCs/>
                <w:color w:val="0D1B2A"/>
                <w:sz w:val="28"/>
                <w:szCs w:val="28"/>
              </w:rPr>
              <w:t xml:space="preserve">⚠️</w:t>
            </w:r>
          </w:p>
        </w:tc>
        <w:tc>
          <w:tcPr>
            <w:tcBorders>
              <w:top w:val="single" w:color="7B241C" w:sz="4"/>
              <w:left w:val="single" w:color="7B241C" w:sz="4"/>
              <w:bottom w:val="single" w:color="7B241C" w:sz="4"/>
              <w:right w:val="single" w:color="7B241C" w:sz="4"/>
            </w:tcBorders>
            <w:shd w:fill="FDEDEC" w:val="clear"/>
            <w:tcMar>
              <w:top w:type="dxa" w:w="100"/>
              <w:left w:type="dxa" w:w="140"/>
              <w:bottom w:type="dxa" w:w="100"/>
              <w:right w:type="dxa" w:w="140"/>
            </w:tcMar>
            <w:vAlign w:val="top"/>
          </w:tcPr>
          <w:p>
            <w:pPr>
              <w:spacing w:before="80" w:after="80"/>
              <w:jc w:val="both"/>
            </w:pPr>
            <w:r>
              <w:rPr>
                <w:rFonts w:ascii="Arial" w:cs="Arial" w:eastAsia="Arial" w:hAnsi="Arial"/>
                <w:color w:val="0D1B2A"/>
                <w:sz w:val="21"/>
                <w:szCs w:val="21"/>
              </w:rPr>
              <w:t xml:space="preserve">La mayor diferencia operativa es esta: en una empresa, si no tenés presupuesto para algo, pedís crédito y lo comprás igual. En el Estado, si no hay partida presupuestaria aprobada, NO SE PUEDE GASTAR. El presupuesto en el sector público es una ley, no una planilla de Excel.</w:t>
            </w:r>
          </w:p>
        </w:tc>
      </w:tr>
    </w:tbl>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5631" w:sz="4"/>
              <w:left w:val="single" w:color="1E5631" w:sz="4"/>
              <w:bottom w:val="single" w:color="1E5631" w:sz="4"/>
              <w:right w:val="single" w:color="1E5631" w:sz="4"/>
            </w:tcBorders>
            <w:shd w:fill="1E5631" w:val="clear"/>
            <w:tcMar>
              <w:top w:type="dxa" w:w="100"/>
              <w:left w:type="dxa" w:w="140"/>
              <w:bottom w:type="dxa" w:w="100"/>
              <w:right w:type="dxa" w:w="140"/>
            </w:tcMar>
            <w:vAlign w:val="top"/>
          </w:tcPr>
          <w:p>
            <w:pPr>
              <w:spacing w:before="75" w:after="75"/>
              <w:jc w:val="center"/>
            </w:pPr>
            <w:r>
              <w:rPr>
                <w:rFonts w:ascii="Arial" w:cs="Arial" w:eastAsia="Arial" w:hAnsi="Arial"/>
                <w:b/>
                <w:bCs/>
                <w:color w:val="FFFFFF"/>
                <w:sz w:val="20"/>
                <w:szCs w:val="20"/>
              </w:rPr>
              <w:t xml:space="preserve">✏️  EJEMPLO 2  —  La diferencia de objetivos en la práctica — Caso Hospital Regional</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65" w:after="65"/>
              <w:jc w:val="both"/>
            </w:pPr>
            <w:r>
              <w:rPr>
                <w:rFonts w:ascii="Arial" w:cs="Arial" w:eastAsia="Arial" w:hAnsi="Arial"/>
                <w:color w:val="0D1B2A"/>
                <w:sz w:val="21"/>
                <w:szCs w:val="21"/>
              </w:rPr>
              <w:t xml:space="preserve">Empresa privada (Sanatorio Santa Rosa): Al finalizar el año, el contador elabora el Estado de Resultados. Resultado: ganó Gs. 2.800 millones. Los socios cobran dividendos. El objetivo se cumplió.</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65" w:after="65"/>
              <w:jc w:val="both"/>
            </w:pPr>
            <w:r>
              <w:rPr>
                <w:rFonts w:ascii="Arial" w:cs="Arial" w:eastAsia="Arial" w:hAnsi="Arial"/>
                <w:color w:val="0D1B2A"/>
                <w:sz w:val="21"/>
                <w:szCs w:val="21"/>
              </w:rPr>
              <w:t xml:space="preserve">Hospital Regional del Estado (IPS o MSPBS): Al finalizar el año, el contador público elabora el Estado de Ejecución Presupuestaria. Lo relevante no es si 'ganó' dinero, sino: ¿Cuántos pacientes fueron atendidos? ¿Se ejecutó el 100% del presupuesto de medicamentos? ¿Hubo economías indebidas que impidieron atender a la gente? ¿O hubo gastos sin respaldo?</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65" w:after="65"/>
              <w:jc w:val="both"/>
            </w:pPr>
            <w:r>
              <w:rPr>
                <w:rFonts w:ascii="Arial" w:cs="Arial" w:eastAsia="Arial" w:hAnsi="Arial"/>
                <w:color w:val="0D1B2A"/>
                <w:sz w:val="21"/>
                <w:szCs w:val="21"/>
              </w:rPr>
              <w:t xml:space="preserve">Conclusión clave: El 'éxito' en el sector público no se mide en ganancias sino en eficiencia, eficacia y transparencia en el uso de los recursos asignados.</w:t>
            </w:r>
          </w:p>
        </w:tc>
      </w:tr>
    </w:tbl>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7B241C" w:sz="4"/>
              <w:left w:val="single" w:color="7B241C" w:sz="4"/>
              <w:bottom w:val="single" w:color="7B241C" w:sz="4"/>
              <w:right w:val="single" w:color="7B241C" w:sz="4"/>
            </w:tcBorders>
            <w:shd w:fill="7B241C" w:val="clear"/>
            <w:tcMar>
              <w:top w:type="dxa" w:w="100"/>
              <w:left w:type="dxa" w:w="140"/>
              <w:bottom w:type="dxa" w:w="100"/>
              <w:right w:type="dxa" w:w="140"/>
            </w:tcMar>
            <w:vAlign w:val="top"/>
          </w:tcPr>
          <w:p>
            <w:pPr>
              <w:spacing w:before="75" w:after="75"/>
              <w:jc w:val="center"/>
            </w:pPr>
            <w:r>
              <w:rPr>
                <w:rFonts w:ascii="Arial" w:cs="Arial" w:eastAsia="Arial" w:hAnsi="Arial"/>
                <w:b/>
                <w:bCs/>
                <w:color w:val="FFFFFF"/>
                <w:sz w:val="21"/>
                <w:szCs w:val="21"/>
              </w:rPr>
              <w:t xml:space="preserve">📝  EJERCICIO 1</w:t>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Reflexión aplicada a su institución (individual):</w:t>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Pensando en la institución pública donde usted trabaja o conoce:</w:t>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a) ¿Cuál sería el equivalente al 'resultado del ejercicio' que más le interesa al ciudadano de su institución?</w:t>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b) ¿Qué información contable de su institución es pública y dónde se publica?</w:t>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c) ¿Considera que esa información es suficiente para que un ciudadano común pueda entender cómo se usaron los recursos? Justifique.</w:t>
            </w:r>
          </w:p>
        </w:tc>
      </w:tr>
      <w:tr>
        <w:tc>
          <w:tcPr>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top"/>
          </w:tcPr>
          <w:p>
            <w:pPr>
              <w:spacing w:before="55" w:after="55"/>
            </w:pPr>
            <w:r>
              <w:rPr>
                <w:rFonts w:ascii="Arial" w:cs="Arial" w:eastAsia="Arial" w:hAnsi="Arial"/>
                <w:b/>
                <w:bCs/>
                <w:color w:val="1A3A6B"/>
                <w:sz w:val="20"/>
                <w:szCs w:val="20"/>
              </w:rPr>
              <w:t xml:space="preserve">Resolución:</w:t>
            </w:r>
          </w:p>
        </w:tc>
      </w:tr>
      <w:tr>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r>
        <w:tc>
          <w:tcPr>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r>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r>
        <w:tc>
          <w:tcPr>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r>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r>
        <w:tc>
          <w:tcPr>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bl>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110" w:after="110"/>
              <w:jc w:val="center"/>
            </w:pPr>
            <w:r>
              <w:rPr>
                <w:rFonts w:ascii="Arial" w:cs="Arial" w:eastAsia="Arial" w:hAnsi="Arial"/>
                <w:b/>
                <w:bCs/>
                <w:color w:val="FFFFFF"/>
                <w:sz w:val="30"/>
                <w:szCs w:val="30"/>
              </w:rPr>
              <w:t xml:space="preserve">📖  BLOQUE 2  —  PRINCIPIOS DE CONTABILIDAD PÚBLICA</w:t>
            </w:r>
          </w:p>
        </w:tc>
      </w:tr>
    </w:tbl>
    <w:p>
      <w:pPr>
        <w:spacing w:before="80"/>
      </w:pPr>
    </w:p>
    <w:p>
      <w:pPr>
        <w:pBdr>
          <w:bottom w:val="single" w:color="C9A227" w:sz="8" w:space="2"/>
        </w:pBdr>
        <w:spacing w:before="280" w:after="100"/>
      </w:pPr>
      <w:r>
        <w:rPr>
          <w:rFonts w:ascii="Arial" w:cs="Arial" w:eastAsia="Arial" w:hAnsi="Arial"/>
          <w:b/>
          <w:bCs/>
          <w:color w:val="1A3A6B"/>
          <w:sz w:val="26"/>
          <w:szCs w:val="26"/>
        </w:rPr>
        <w:t xml:space="preserve">2.1  Los 10 principios fundamentales</w:t>
      </w:r>
    </w:p>
    <w:p>
      <w:pPr>
        <w:spacing w:before="60" w:after="85"/>
        <w:jc w:val="both"/>
      </w:pPr>
      <w:r>
        <w:rPr>
          <w:rFonts w:ascii="Arial" w:cs="Arial" w:eastAsia="Arial" w:hAnsi="Arial"/>
          <w:color w:val="0D1B2A"/>
          <w:sz w:val="22"/>
          <w:szCs w:val="22"/>
        </w:rPr>
        <w:t xml:space="preserve">Los principios son las reglas del juego. Así como el fútbol tiene reglas que todos los jugadores deben respetar para que el partido tenga validez, la Contabilidad Pública tiene principios que garantizan que la información producida sea confiable, comparable y útil. Sin principios, cada institución registraría como se le ocurra, y la información consolidada sería inútil.</w:t>
      </w:r>
    </w:p>
    <w:p>
      <w:pPr>
        <w:spacing w:before="3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
        <w:gridCol w:w="1700"/>
        <w:gridCol w:w="3900"/>
        <w:gridCol w:w="3076"/>
      </w:tblGrid>
      <w:tr>
        <w:tc>
          <w:tcPr>
            <w:tcW w:type="dxa" w:w="350"/>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5" w:after="65"/>
              <w:jc w:val="center"/>
            </w:pPr>
            <w:r>
              <w:rPr>
                <w:rFonts w:ascii="Arial" w:cs="Arial" w:eastAsia="Arial" w:hAnsi="Arial"/>
                <w:b/>
                <w:bCs/>
                <w:color w:val="FFFFFF"/>
                <w:sz w:val="18"/>
                <w:szCs w:val="18"/>
              </w:rPr>
              <w:t xml:space="preserve">N°</w:t>
            </w:r>
          </w:p>
        </w:tc>
        <w:tc>
          <w:tcPr>
            <w:tcW w:type="dxa" w:w="1700"/>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5" w:after="65"/>
              <w:jc w:val="center"/>
            </w:pPr>
            <w:r>
              <w:rPr>
                <w:rFonts w:ascii="Arial" w:cs="Arial" w:eastAsia="Arial" w:hAnsi="Arial"/>
                <w:b/>
                <w:bCs/>
                <w:color w:val="FFFFFF"/>
                <w:sz w:val="18"/>
                <w:szCs w:val="18"/>
              </w:rPr>
              <w:t xml:space="preserve">Principio</w:t>
            </w:r>
          </w:p>
        </w:tc>
        <w:tc>
          <w:tcPr>
            <w:tcW w:type="dxa" w:w="3900"/>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5" w:after="65"/>
              <w:jc w:val="center"/>
            </w:pPr>
            <w:r>
              <w:rPr>
                <w:rFonts w:ascii="Arial" w:cs="Arial" w:eastAsia="Arial" w:hAnsi="Arial"/>
                <w:b/>
                <w:bCs/>
                <w:color w:val="FFFFFF"/>
                <w:sz w:val="18"/>
                <w:szCs w:val="18"/>
              </w:rPr>
              <w:t xml:space="preserve">Definición</w:t>
            </w:r>
          </w:p>
        </w:tc>
        <w:tc>
          <w:tcPr>
            <w:tcW w:type="dxa" w:w="3076"/>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5" w:after="65"/>
              <w:jc w:val="center"/>
            </w:pPr>
            <w:r>
              <w:rPr>
                <w:rFonts w:ascii="Arial" w:cs="Arial" w:eastAsia="Arial" w:hAnsi="Arial"/>
                <w:b/>
                <w:bCs/>
                <w:color w:val="FFFFFF"/>
                <w:sz w:val="18"/>
                <w:szCs w:val="18"/>
              </w:rPr>
              <w:t xml:space="preserve">Ejemplo Paraguay</w:t>
            </w:r>
          </w:p>
        </w:tc>
      </w:tr>
      <w:tr>
        <w:tc>
          <w:tcPr>
            <w:tcW w:type="dxa" w:w="350"/>
            <w:tcBorders>
              <w:top w:val="single" w:color="1A3A6B" w:sz="4"/>
              <w:left w:val="single" w:color="1A3A6B" w:sz="4"/>
              <w:bottom w:val="single" w:color="1A3A6B" w:sz="4"/>
              <w:right w:val="single" w:color="1A3A6B" w:sz="4"/>
            </w:tcBorders>
            <w:shd w:fill="EBF3FC" w:val="clear"/>
            <w:tcMar>
              <w:top w:type="dxa" w:w="100"/>
              <w:left w:type="dxa" w:w="140"/>
              <w:bottom w:type="dxa" w:w="100"/>
              <w:right w:type="dxa" w:w="140"/>
            </w:tcMar>
            <w:vAlign w:val="center"/>
          </w:tcPr>
          <w:p>
            <w:pPr>
              <w:spacing w:before="50" w:after="70"/>
              <w:jc w:val="center"/>
            </w:pPr>
            <w:r>
              <w:rPr>
                <w:rFonts w:ascii="Arial" w:cs="Arial" w:eastAsia="Arial" w:hAnsi="Arial"/>
                <w:b/>
                <w:bCs/>
                <w:color w:val="1A3A6B"/>
                <w:sz w:val="20"/>
                <w:szCs w:val="20"/>
              </w:rPr>
              <w:t xml:space="preserve">1</w:t>
            </w:r>
          </w:p>
        </w:tc>
        <w:tc>
          <w:tcPr>
            <w:tcW w:type="dxa" w:w="1700"/>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top"/>
          </w:tcPr>
          <w:p>
            <w:pPr>
              <w:spacing w:before="90" w:after="90"/>
            </w:pPr>
            <w:r>
              <w:rPr>
                <w:rFonts w:ascii="Arial" w:cs="Arial" w:eastAsia="Arial" w:hAnsi="Arial"/>
                <w:b/>
                <w:bCs/>
                <w:color w:val="1A3A6B"/>
                <w:sz w:val="18"/>
                <w:szCs w:val="18"/>
              </w:rPr>
              <w:t xml:space="preserve">ENTIDAD CONTABLE</w:t>
            </w:r>
          </w:p>
        </w:tc>
        <w:tc>
          <w:tcPr>
            <w:tcW w:type="dxa" w:w="3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color w:val="0D1B2A"/>
                <w:sz w:val="18"/>
                <w:szCs w:val="18"/>
              </w:rPr>
              <w:t xml:space="preserve">El Estado registra por separado de sus funcionarios. El patrimonio del Ministerio de Hacienda no es el patrimonio del Ministro.</w:t>
            </w:r>
          </w:p>
        </w:tc>
        <w:tc>
          <w:tcPr>
            <w:tcW w:type="dxa" w:w="3076"/>
            <w:tcBorders>
              <w:top w:val="single" w:color="CCCCCC" w:sz="4"/>
              <w:left w:val="single" w:color="CCCCCC" w:sz="4"/>
              <w:bottom w:val="single" w:color="CCCCCC" w:sz="4"/>
              <w:right w:val="single" w:color="CCCCCC" w:sz="4"/>
            </w:tcBorders>
            <w:shd w:fill="FFFDE7" w:val="clear"/>
            <w:tcMar>
              <w:top w:type="dxa" w:w="100"/>
              <w:left w:type="dxa" w:w="140"/>
              <w:bottom w:type="dxa" w:w="100"/>
              <w:right w:type="dxa" w:w="140"/>
            </w:tcMar>
            <w:vAlign w:val="top"/>
          </w:tcPr>
          <w:p>
            <w:pPr>
              <w:spacing w:before="90" w:after="90"/>
              <w:jc w:val="both"/>
            </w:pPr>
            <w:r>
              <w:rPr>
                <w:rFonts w:ascii="Arial" w:cs="Arial" w:eastAsia="Arial" w:hAnsi="Arial"/>
                <w:i/>
                <w:iCs/>
                <w:color w:val="0D1B2A"/>
                <w:sz w:val="18"/>
                <w:szCs w:val="18"/>
              </w:rPr>
              <w:t xml:space="preserve">La casa del Ministro no figura en el balance del Ministerio. El edificio del MHCP sí.</w:t>
            </w:r>
          </w:p>
        </w:tc>
      </w:tr>
      <w:tr>
        <w:tc>
          <w:tcPr>
            <w:tcW w:type="dxa" w:w="350"/>
            <w:tcBorders>
              <w:top w:val="single" w:color="1A3A6B" w:sz="4"/>
              <w:left w:val="single" w:color="1A3A6B" w:sz="4"/>
              <w:bottom w:val="single" w:color="1A3A6B" w:sz="4"/>
              <w:right w:val="single" w:color="1A3A6B" w:sz="4"/>
            </w:tcBorders>
            <w:shd w:fill="EBF3FC" w:val="clear"/>
            <w:tcMar>
              <w:top w:type="dxa" w:w="100"/>
              <w:left w:type="dxa" w:w="140"/>
              <w:bottom w:type="dxa" w:w="100"/>
              <w:right w:type="dxa" w:w="140"/>
            </w:tcMar>
            <w:vAlign w:val="center"/>
          </w:tcPr>
          <w:p>
            <w:pPr>
              <w:spacing w:before="50" w:after="70"/>
              <w:jc w:val="center"/>
            </w:pPr>
            <w:r>
              <w:rPr>
                <w:rFonts w:ascii="Arial" w:cs="Arial" w:eastAsia="Arial" w:hAnsi="Arial"/>
                <w:b/>
                <w:bCs/>
                <w:color w:val="1A3A6B"/>
                <w:sz w:val="20"/>
                <w:szCs w:val="20"/>
              </w:rPr>
              <w:t xml:space="preserve">2</w:t>
            </w:r>
          </w:p>
        </w:tc>
        <w:tc>
          <w:tcPr>
            <w:tcW w:type="dxa" w:w="1700"/>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top"/>
          </w:tcPr>
          <w:p>
            <w:pPr>
              <w:spacing w:before="90" w:after="90"/>
            </w:pPr>
            <w:r>
              <w:rPr>
                <w:rFonts w:ascii="Arial" w:cs="Arial" w:eastAsia="Arial" w:hAnsi="Arial"/>
                <w:b/>
                <w:bCs/>
                <w:color w:val="1A3A6B"/>
                <w:sz w:val="18"/>
                <w:szCs w:val="18"/>
              </w:rPr>
              <w:t xml:space="preserve">PERÍODO CONTABLE</w:t>
            </w:r>
          </w:p>
        </w:tc>
        <w:tc>
          <w:tcPr>
            <w:tcW w:type="dxa" w:w="39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both"/>
            </w:pPr>
            <w:r>
              <w:rPr>
                <w:rFonts w:ascii="Arial" w:cs="Arial" w:eastAsia="Arial" w:hAnsi="Arial"/>
                <w:color w:val="0D1B2A"/>
                <w:sz w:val="18"/>
                <w:szCs w:val="18"/>
              </w:rPr>
              <w:t xml:space="preserve">Las operaciones se registran en el período al que corresponden, generalmente el año fiscal (enero-diciembre).</w:t>
            </w:r>
          </w:p>
        </w:tc>
        <w:tc>
          <w:tcPr>
            <w:tcW w:type="dxa" w:w="3076"/>
            <w:tcBorders>
              <w:top w:val="single" w:color="CCCCCC" w:sz="4"/>
              <w:left w:val="single" w:color="CCCCCC" w:sz="4"/>
              <w:bottom w:val="single" w:color="CCCCCC" w:sz="4"/>
              <w:right w:val="single" w:color="CCCCCC" w:sz="4"/>
            </w:tcBorders>
            <w:shd w:fill="FFF9C4" w:val="clear"/>
            <w:tcMar>
              <w:top w:type="dxa" w:w="100"/>
              <w:left w:type="dxa" w:w="140"/>
              <w:bottom w:type="dxa" w:w="100"/>
              <w:right w:type="dxa" w:w="140"/>
            </w:tcMar>
            <w:vAlign w:val="top"/>
          </w:tcPr>
          <w:p>
            <w:pPr>
              <w:spacing w:before="90" w:after="90"/>
              <w:jc w:val="both"/>
            </w:pPr>
            <w:r>
              <w:rPr>
                <w:rFonts w:ascii="Arial" w:cs="Arial" w:eastAsia="Arial" w:hAnsi="Arial"/>
                <w:i/>
                <w:iCs/>
                <w:color w:val="0D1B2A"/>
                <w:sz w:val="18"/>
                <w:szCs w:val="18"/>
              </w:rPr>
              <w:t xml:space="preserve">Si un Ministerio recibe una factura de diciembre pero la paga en enero del año siguiente, el gasto se imputa a diciembre.</w:t>
            </w:r>
          </w:p>
        </w:tc>
      </w:tr>
      <w:tr>
        <w:tc>
          <w:tcPr>
            <w:tcW w:type="dxa" w:w="350"/>
            <w:tcBorders>
              <w:top w:val="single" w:color="1A3A6B" w:sz="4"/>
              <w:left w:val="single" w:color="1A3A6B" w:sz="4"/>
              <w:bottom w:val="single" w:color="1A3A6B" w:sz="4"/>
              <w:right w:val="single" w:color="1A3A6B" w:sz="4"/>
            </w:tcBorders>
            <w:shd w:fill="EBF3FC" w:val="clear"/>
            <w:tcMar>
              <w:top w:type="dxa" w:w="100"/>
              <w:left w:type="dxa" w:w="140"/>
              <w:bottom w:type="dxa" w:w="100"/>
              <w:right w:type="dxa" w:w="140"/>
            </w:tcMar>
            <w:vAlign w:val="center"/>
          </w:tcPr>
          <w:p>
            <w:pPr>
              <w:spacing w:before="50" w:after="70"/>
              <w:jc w:val="center"/>
            </w:pPr>
            <w:r>
              <w:rPr>
                <w:rFonts w:ascii="Arial" w:cs="Arial" w:eastAsia="Arial" w:hAnsi="Arial"/>
                <w:b/>
                <w:bCs/>
                <w:color w:val="1A3A6B"/>
                <w:sz w:val="20"/>
                <w:szCs w:val="20"/>
              </w:rPr>
              <w:t xml:space="preserve">3</w:t>
            </w:r>
          </w:p>
        </w:tc>
        <w:tc>
          <w:tcPr>
            <w:tcW w:type="dxa" w:w="1700"/>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top"/>
          </w:tcPr>
          <w:p>
            <w:pPr>
              <w:spacing w:before="90" w:after="90"/>
            </w:pPr>
            <w:r>
              <w:rPr>
                <w:rFonts w:ascii="Arial" w:cs="Arial" w:eastAsia="Arial" w:hAnsi="Arial"/>
                <w:b/>
                <w:bCs/>
                <w:color w:val="1A3A6B"/>
                <w:sz w:val="18"/>
                <w:szCs w:val="18"/>
              </w:rPr>
              <w:t xml:space="preserve">BASE DEVENGADA</w:t>
            </w:r>
          </w:p>
        </w:tc>
        <w:tc>
          <w:tcPr>
            <w:tcW w:type="dxa" w:w="3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color w:val="0D1B2A"/>
                <w:sz w:val="18"/>
                <w:szCs w:val="18"/>
              </w:rPr>
              <w:t xml:space="preserve">Los hechos económicos se registran cuando ocurren, independientemente del movimiento de caja.</w:t>
            </w:r>
          </w:p>
        </w:tc>
        <w:tc>
          <w:tcPr>
            <w:tcW w:type="dxa" w:w="3076"/>
            <w:tcBorders>
              <w:top w:val="single" w:color="CCCCCC" w:sz="4"/>
              <w:left w:val="single" w:color="CCCCCC" w:sz="4"/>
              <w:bottom w:val="single" w:color="CCCCCC" w:sz="4"/>
              <w:right w:val="single" w:color="CCCCCC" w:sz="4"/>
            </w:tcBorders>
            <w:shd w:fill="FFFDE7" w:val="clear"/>
            <w:tcMar>
              <w:top w:type="dxa" w:w="100"/>
              <w:left w:type="dxa" w:w="140"/>
              <w:bottom w:type="dxa" w:w="100"/>
              <w:right w:type="dxa" w:w="140"/>
            </w:tcMar>
            <w:vAlign w:val="top"/>
          </w:tcPr>
          <w:p>
            <w:pPr>
              <w:spacing w:before="90" w:after="90"/>
              <w:jc w:val="both"/>
            </w:pPr>
            <w:r>
              <w:rPr>
                <w:rFonts w:ascii="Arial" w:cs="Arial" w:eastAsia="Arial" w:hAnsi="Arial"/>
                <w:i/>
                <w:iCs/>
                <w:color w:val="0D1B2A"/>
                <w:sz w:val="18"/>
                <w:szCs w:val="18"/>
              </w:rPr>
              <w:t xml:space="preserve">Los sueldos de diciembre se registran en diciembre aunque se paguen el 5 de enero. El Estado ya 'debe' ese dinero desde diciembre.</w:t>
            </w:r>
          </w:p>
        </w:tc>
      </w:tr>
      <w:tr>
        <w:tc>
          <w:tcPr>
            <w:tcW w:type="dxa" w:w="350"/>
            <w:tcBorders>
              <w:top w:val="single" w:color="1A3A6B" w:sz="4"/>
              <w:left w:val="single" w:color="1A3A6B" w:sz="4"/>
              <w:bottom w:val="single" w:color="1A3A6B" w:sz="4"/>
              <w:right w:val="single" w:color="1A3A6B" w:sz="4"/>
            </w:tcBorders>
            <w:shd w:fill="EBF3FC" w:val="clear"/>
            <w:tcMar>
              <w:top w:type="dxa" w:w="100"/>
              <w:left w:type="dxa" w:w="140"/>
              <w:bottom w:type="dxa" w:w="100"/>
              <w:right w:type="dxa" w:w="140"/>
            </w:tcMar>
            <w:vAlign w:val="center"/>
          </w:tcPr>
          <w:p>
            <w:pPr>
              <w:spacing w:before="50" w:after="70"/>
              <w:jc w:val="center"/>
            </w:pPr>
            <w:r>
              <w:rPr>
                <w:rFonts w:ascii="Arial" w:cs="Arial" w:eastAsia="Arial" w:hAnsi="Arial"/>
                <w:b/>
                <w:bCs/>
                <w:color w:val="1A3A6B"/>
                <w:sz w:val="20"/>
                <w:szCs w:val="20"/>
              </w:rPr>
              <w:t xml:space="preserve">4</w:t>
            </w:r>
          </w:p>
        </w:tc>
        <w:tc>
          <w:tcPr>
            <w:tcW w:type="dxa" w:w="1700"/>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top"/>
          </w:tcPr>
          <w:p>
            <w:pPr>
              <w:spacing w:before="90" w:after="90"/>
            </w:pPr>
            <w:r>
              <w:rPr>
                <w:rFonts w:ascii="Arial" w:cs="Arial" w:eastAsia="Arial" w:hAnsi="Arial"/>
                <w:b/>
                <w:bCs/>
                <w:color w:val="1A3A6B"/>
                <w:sz w:val="18"/>
                <w:szCs w:val="18"/>
              </w:rPr>
              <w:t xml:space="preserve">PRUDENCIA</w:t>
            </w:r>
          </w:p>
        </w:tc>
        <w:tc>
          <w:tcPr>
            <w:tcW w:type="dxa" w:w="39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both"/>
            </w:pPr>
            <w:r>
              <w:rPr>
                <w:rFonts w:ascii="Arial" w:cs="Arial" w:eastAsia="Arial" w:hAnsi="Arial"/>
                <w:color w:val="0D1B2A"/>
                <w:sz w:val="18"/>
                <w:szCs w:val="18"/>
              </w:rPr>
              <w:t xml:space="preserve">Ante la incertidumbre, se reconocen las pérdidas probables pero no las ganancias inciertas.</w:t>
            </w:r>
          </w:p>
        </w:tc>
        <w:tc>
          <w:tcPr>
            <w:tcW w:type="dxa" w:w="3076"/>
            <w:tcBorders>
              <w:top w:val="single" w:color="CCCCCC" w:sz="4"/>
              <w:left w:val="single" w:color="CCCCCC" w:sz="4"/>
              <w:bottom w:val="single" w:color="CCCCCC" w:sz="4"/>
              <w:right w:val="single" w:color="CCCCCC" w:sz="4"/>
            </w:tcBorders>
            <w:shd w:fill="FFF9C4" w:val="clear"/>
            <w:tcMar>
              <w:top w:type="dxa" w:w="100"/>
              <w:left w:type="dxa" w:w="140"/>
              <w:bottom w:type="dxa" w:w="100"/>
              <w:right w:type="dxa" w:w="140"/>
            </w:tcMar>
            <w:vAlign w:val="top"/>
          </w:tcPr>
          <w:p>
            <w:pPr>
              <w:spacing w:before="90" w:after="90"/>
              <w:jc w:val="both"/>
            </w:pPr>
            <w:r>
              <w:rPr>
                <w:rFonts w:ascii="Arial" w:cs="Arial" w:eastAsia="Arial" w:hAnsi="Arial"/>
                <w:i/>
                <w:iCs/>
                <w:color w:val="0D1B2A"/>
                <w:sz w:val="18"/>
                <w:szCs w:val="18"/>
              </w:rPr>
              <w:t xml:space="preserve">Si el Estado paraguayo tiene una demanda judicial por Gs. 50.000 millones que probablemente pierde, debe provisionar ese monto en sus estados financieros.</w:t>
            </w:r>
          </w:p>
        </w:tc>
      </w:tr>
      <w:tr>
        <w:tc>
          <w:tcPr>
            <w:tcW w:type="dxa" w:w="350"/>
            <w:tcBorders>
              <w:top w:val="single" w:color="1A3A6B" w:sz="4"/>
              <w:left w:val="single" w:color="1A3A6B" w:sz="4"/>
              <w:bottom w:val="single" w:color="1A3A6B" w:sz="4"/>
              <w:right w:val="single" w:color="1A3A6B" w:sz="4"/>
            </w:tcBorders>
            <w:shd w:fill="EBF3FC" w:val="clear"/>
            <w:tcMar>
              <w:top w:type="dxa" w:w="100"/>
              <w:left w:type="dxa" w:w="140"/>
              <w:bottom w:type="dxa" w:w="100"/>
              <w:right w:type="dxa" w:w="140"/>
            </w:tcMar>
            <w:vAlign w:val="center"/>
          </w:tcPr>
          <w:p>
            <w:pPr>
              <w:spacing w:before="50" w:after="70"/>
              <w:jc w:val="center"/>
            </w:pPr>
            <w:r>
              <w:rPr>
                <w:rFonts w:ascii="Arial" w:cs="Arial" w:eastAsia="Arial" w:hAnsi="Arial"/>
                <w:b/>
                <w:bCs/>
                <w:color w:val="1A3A6B"/>
                <w:sz w:val="20"/>
                <w:szCs w:val="20"/>
              </w:rPr>
              <w:t xml:space="preserve">5</w:t>
            </w:r>
          </w:p>
        </w:tc>
        <w:tc>
          <w:tcPr>
            <w:tcW w:type="dxa" w:w="1700"/>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top"/>
          </w:tcPr>
          <w:p>
            <w:pPr>
              <w:spacing w:before="90" w:after="90"/>
            </w:pPr>
            <w:r>
              <w:rPr>
                <w:rFonts w:ascii="Arial" w:cs="Arial" w:eastAsia="Arial" w:hAnsi="Arial"/>
                <w:b/>
                <w:bCs/>
                <w:color w:val="1A3A6B"/>
                <w:sz w:val="18"/>
                <w:szCs w:val="18"/>
              </w:rPr>
              <w:t xml:space="preserve">CONSISTENCIA</w:t>
            </w:r>
          </w:p>
        </w:tc>
        <w:tc>
          <w:tcPr>
            <w:tcW w:type="dxa" w:w="3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color w:val="0D1B2A"/>
                <w:sz w:val="18"/>
                <w:szCs w:val="18"/>
              </w:rPr>
              <w:t xml:space="preserve">Los mismos criterios contables se aplican de un ejercicio al siguiente, salvo cambio justificado y expuesto.</w:t>
            </w:r>
          </w:p>
        </w:tc>
        <w:tc>
          <w:tcPr>
            <w:tcW w:type="dxa" w:w="3076"/>
            <w:tcBorders>
              <w:top w:val="single" w:color="CCCCCC" w:sz="4"/>
              <w:left w:val="single" w:color="CCCCCC" w:sz="4"/>
              <w:bottom w:val="single" w:color="CCCCCC" w:sz="4"/>
              <w:right w:val="single" w:color="CCCCCC" w:sz="4"/>
            </w:tcBorders>
            <w:shd w:fill="FFFDE7" w:val="clear"/>
            <w:tcMar>
              <w:top w:type="dxa" w:w="100"/>
              <w:left w:type="dxa" w:w="140"/>
              <w:bottom w:type="dxa" w:w="100"/>
              <w:right w:type="dxa" w:w="140"/>
            </w:tcMar>
            <w:vAlign w:val="top"/>
          </w:tcPr>
          <w:p>
            <w:pPr>
              <w:spacing w:before="90" w:after="90"/>
              <w:jc w:val="both"/>
            </w:pPr>
            <w:r>
              <w:rPr>
                <w:rFonts w:ascii="Arial" w:cs="Arial" w:eastAsia="Arial" w:hAnsi="Arial"/>
                <w:i/>
                <w:iCs/>
                <w:color w:val="0D1B2A"/>
                <w:sz w:val="18"/>
                <w:szCs w:val="18"/>
              </w:rPr>
              <w:t xml:space="preserve">Si el Estado valoriza sus inmuebles por costo histórico, debe hacerlo siempre así — no puede cambiar al valor de mercado un año sí y otro no.</w:t>
            </w:r>
          </w:p>
        </w:tc>
      </w:tr>
      <w:tr>
        <w:tc>
          <w:tcPr>
            <w:tcW w:type="dxa" w:w="350"/>
            <w:tcBorders>
              <w:top w:val="single" w:color="1A3A6B" w:sz="4"/>
              <w:left w:val="single" w:color="1A3A6B" w:sz="4"/>
              <w:bottom w:val="single" w:color="1A3A6B" w:sz="4"/>
              <w:right w:val="single" w:color="1A3A6B" w:sz="4"/>
            </w:tcBorders>
            <w:shd w:fill="EBF3FC" w:val="clear"/>
            <w:tcMar>
              <w:top w:type="dxa" w:w="100"/>
              <w:left w:type="dxa" w:w="140"/>
              <w:bottom w:type="dxa" w:w="100"/>
              <w:right w:type="dxa" w:w="140"/>
            </w:tcMar>
            <w:vAlign w:val="center"/>
          </w:tcPr>
          <w:p>
            <w:pPr>
              <w:spacing w:before="50" w:after="70"/>
              <w:jc w:val="center"/>
            </w:pPr>
            <w:r>
              <w:rPr>
                <w:rFonts w:ascii="Arial" w:cs="Arial" w:eastAsia="Arial" w:hAnsi="Arial"/>
                <w:b/>
                <w:bCs/>
                <w:color w:val="1A3A6B"/>
                <w:sz w:val="20"/>
                <w:szCs w:val="20"/>
              </w:rPr>
              <w:t xml:space="preserve">6</w:t>
            </w:r>
          </w:p>
        </w:tc>
        <w:tc>
          <w:tcPr>
            <w:tcW w:type="dxa" w:w="1700"/>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top"/>
          </w:tcPr>
          <w:p>
            <w:pPr>
              <w:spacing w:before="90" w:after="90"/>
            </w:pPr>
            <w:r>
              <w:rPr>
                <w:rFonts w:ascii="Arial" w:cs="Arial" w:eastAsia="Arial" w:hAnsi="Arial"/>
                <w:b/>
                <w:bCs/>
                <w:color w:val="1A3A6B"/>
                <w:sz w:val="18"/>
                <w:szCs w:val="18"/>
              </w:rPr>
              <w:t xml:space="preserve">EXPOSICIÓN</w:t>
            </w:r>
          </w:p>
        </w:tc>
        <w:tc>
          <w:tcPr>
            <w:tcW w:type="dxa" w:w="39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both"/>
            </w:pPr>
            <w:r>
              <w:rPr>
                <w:rFonts w:ascii="Arial" w:cs="Arial" w:eastAsia="Arial" w:hAnsi="Arial"/>
                <w:color w:val="0D1B2A"/>
                <w:sz w:val="18"/>
                <w:szCs w:val="18"/>
              </w:rPr>
              <w:t xml:space="preserve">Los estados financieros deben contener toda la información necesaria para que el lector comprenda la situación del Estado.</w:t>
            </w:r>
          </w:p>
        </w:tc>
        <w:tc>
          <w:tcPr>
            <w:tcW w:type="dxa" w:w="3076"/>
            <w:tcBorders>
              <w:top w:val="single" w:color="CCCCCC" w:sz="4"/>
              <w:left w:val="single" w:color="CCCCCC" w:sz="4"/>
              <w:bottom w:val="single" w:color="CCCCCC" w:sz="4"/>
              <w:right w:val="single" w:color="CCCCCC" w:sz="4"/>
            </w:tcBorders>
            <w:shd w:fill="FFF9C4" w:val="clear"/>
            <w:tcMar>
              <w:top w:type="dxa" w:w="100"/>
              <w:left w:type="dxa" w:w="140"/>
              <w:bottom w:type="dxa" w:w="100"/>
              <w:right w:type="dxa" w:w="140"/>
            </w:tcMar>
            <w:vAlign w:val="top"/>
          </w:tcPr>
          <w:p>
            <w:pPr>
              <w:spacing w:before="90" w:after="90"/>
              <w:jc w:val="both"/>
            </w:pPr>
            <w:r>
              <w:rPr>
                <w:rFonts w:ascii="Arial" w:cs="Arial" w:eastAsia="Arial" w:hAnsi="Arial"/>
                <w:i/>
                <w:iCs/>
                <w:color w:val="0D1B2A"/>
                <w:sz w:val="18"/>
                <w:szCs w:val="18"/>
              </w:rPr>
              <w:t xml:space="preserve">Las notas a los estados financieros del Gobierno Central deben explicar qué método se usó para valorizar el stock de bonos del tesoro.</w:t>
            </w:r>
          </w:p>
        </w:tc>
      </w:tr>
      <w:tr>
        <w:tc>
          <w:tcPr>
            <w:tcW w:type="dxa" w:w="350"/>
            <w:tcBorders>
              <w:top w:val="single" w:color="1A3A6B" w:sz="4"/>
              <w:left w:val="single" w:color="1A3A6B" w:sz="4"/>
              <w:bottom w:val="single" w:color="1A3A6B" w:sz="4"/>
              <w:right w:val="single" w:color="1A3A6B" w:sz="4"/>
            </w:tcBorders>
            <w:shd w:fill="EBF3FC" w:val="clear"/>
            <w:tcMar>
              <w:top w:type="dxa" w:w="100"/>
              <w:left w:type="dxa" w:w="140"/>
              <w:bottom w:type="dxa" w:w="100"/>
              <w:right w:type="dxa" w:w="140"/>
            </w:tcMar>
            <w:vAlign w:val="center"/>
          </w:tcPr>
          <w:p>
            <w:pPr>
              <w:spacing w:before="50" w:after="70"/>
              <w:jc w:val="center"/>
            </w:pPr>
            <w:r>
              <w:rPr>
                <w:rFonts w:ascii="Arial" w:cs="Arial" w:eastAsia="Arial" w:hAnsi="Arial"/>
                <w:b/>
                <w:bCs/>
                <w:color w:val="1A3A6B"/>
                <w:sz w:val="20"/>
                <w:szCs w:val="20"/>
              </w:rPr>
              <w:t xml:space="preserve">7</w:t>
            </w:r>
          </w:p>
        </w:tc>
        <w:tc>
          <w:tcPr>
            <w:tcW w:type="dxa" w:w="1700"/>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top"/>
          </w:tcPr>
          <w:p>
            <w:pPr>
              <w:spacing w:before="90" w:after="90"/>
            </w:pPr>
            <w:r>
              <w:rPr>
                <w:rFonts w:ascii="Arial" w:cs="Arial" w:eastAsia="Arial" w:hAnsi="Arial"/>
                <w:b/>
                <w:bCs/>
                <w:color w:val="1A3A6B"/>
                <w:sz w:val="18"/>
                <w:szCs w:val="18"/>
              </w:rPr>
              <w:t xml:space="preserve">UNIFORMIDAD</w:t>
            </w:r>
          </w:p>
        </w:tc>
        <w:tc>
          <w:tcPr>
            <w:tcW w:type="dxa" w:w="3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color w:val="0D1B2A"/>
                <w:sz w:val="18"/>
                <w:szCs w:val="18"/>
              </w:rPr>
              <w:t xml:space="preserve">Los criterios se mantienen uniformes dentro del ejercicio y entre los distintos organismos del Estado.</w:t>
            </w:r>
          </w:p>
        </w:tc>
        <w:tc>
          <w:tcPr>
            <w:tcW w:type="dxa" w:w="3076"/>
            <w:tcBorders>
              <w:top w:val="single" w:color="CCCCCC" w:sz="4"/>
              <w:left w:val="single" w:color="CCCCCC" w:sz="4"/>
              <w:bottom w:val="single" w:color="CCCCCC" w:sz="4"/>
              <w:right w:val="single" w:color="CCCCCC" w:sz="4"/>
            </w:tcBorders>
            <w:shd w:fill="FFFDE7" w:val="clear"/>
            <w:tcMar>
              <w:top w:type="dxa" w:w="100"/>
              <w:left w:type="dxa" w:w="140"/>
              <w:bottom w:type="dxa" w:w="100"/>
              <w:right w:type="dxa" w:w="140"/>
            </w:tcMar>
            <w:vAlign w:val="top"/>
          </w:tcPr>
          <w:p>
            <w:pPr>
              <w:spacing w:before="90" w:after="90"/>
              <w:jc w:val="both"/>
            </w:pPr>
            <w:r>
              <w:rPr>
                <w:rFonts w:ascii="Arial" w:cs="Arial" w:eastAsia="Arial" w:hAnsi="Arial"/>
                <w:i/>
                <w:iCs/>
                <w:color w:val="0D1B2A"/>
                <w:sz w:val="18"/>
                <w:szCs w:val="18"/>
              </w:rPr>
              <w:t xml:space="preserve">Todos los Ministerios deben usar el mismo Plan de Cuentas del MHCP — no puede haber uno que use un código y otro que use un código diferente para el mismo concepto.</w:t>
            </w:r>
          </w:p>
        </w:tc>
      </w:tr>
      <w:tr>
        <w:tc>
          <w:tcPr>
            <w:tcW w:type="dxa" w:w="350"/>
            <w:tcBorders>
              <w:top w:val="single" w:color="1A3A6B" w:sz="4"/>
              <w:left w:val="single" w:color="1A3A6B" w:sz="4"/>
              <w:bottom w:val="single" w:color="1A3A6B" w:sz="4"/>
              <w:right w:val="single" w:color="1A3A6B" w:sz="4"/>
            </w:tcBorders>
            <w:shd w:fill="EBF3FC" w:val="clear"/>
            <w:tcMar>
              <w:top w:type="dxa" w:w="100"/>
              <w:left w:type="dxa" w:w="140"/>
              <w:bottom w:type="dxa" w:w="100"/>
              <w:right w:type="dxa" w:w="140"/>
            </w:tcMar>
            <w:vAlign w:val="center"/>
          </w:tcPr>
          <w:p>
            <w:pPr>
              <w:spacing w:before="50" w:after="70"/>
              <w:jc w:val="center"/>
            </w:pPr>
            <w:r>
              <w:rPr>
                <w:rFonts w:ascii="Arial" w:cs="Arial" w:eastAsia="Arial" w:hAnsi="Arial"/>
                <w:b/>
                <w:bCs/>
                <w:color w:val="1A3A6B"/>
                <w:sz w:val="20"/>
                <w:szCs w:val="20"/>
              </w:rPr>
              <w:t xml:space="preserve">8</w:t>
            </w:r>
          </w:p>
        </w:tc>
        <w:tc>
          <w:tcPr>
            <w:tcW w:type="dxa" w:w="1700"/>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top"/>
          </w:tcPr>
          <w:p>
            <w:pPr>
              <w:spacing w:before="90" w:after="90"/>
            </w:pPr>
            <w:r>
              <w:rPr>
                <w:rFonts w:ascii="Arial" w:cs="Arial" w:eastAsia="Arial" w:hAnsi="Arial"/>
                <w:b/>
                <w:bCs/>
                <w:color w:val="1A3A6B"/>
                <w:sz w:val="18"/>
                <w:szCs w:val="18"/>
              </w:rPr>
              <w:t xml:space="preserve">IMPORTANCIA RELATIVA</w:t>
            </w:r>
          </w:p>
        </w:tc>
        <w:tc>
          <w:tcPr>
            <w:tcW w:type="dxa" w:w="39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both"/>
            </w:pPr>
            <w:r>
              <w:rPr>
                <w:rFonts w:ascii="Arial" w:cs="Arial" w:eastAsia="Arial" w:hAnsi="Arial"/>
                <w:color w:val="0D1B2A"/>
                <w:sz w:val="18"/>
                <w:szCs w:val="18"/>
              </w:rPr>
              <w:t xml:space="preserve">Se puede simplificar el tratamiento de hechos de escasa significación económica.</w:t>
            </w:r>
          </w:p>
        </w:tc>
        <w:tc>
          <w:tcPr>
            <w:tcW w:type="dxa" w:w="3076"/>
            <w:tcBorders>
              <w:top w:val="single" w:color="CCCCCC" w:sz="4"/>
              <w:left w:val="single" w:color="CCCCCC" w:sz="4"/>
              <w:bottom w:val="single" w:color="CCCCCC" w:sz="4"/>
              <w:right w:val="single" w:color="CCCCCC" w:sz="4"/>
            </w:tcBorders>
            <w:shd w:fill="FFF9C4" w:val="clear"/>
            <w:tcMar>
              <w:top w:type="dxa" w:w="100"/>
              <w:left w:type="dxa" w:w="140"/>
              <w:bottom w:type="dxa" w:w="100"/>
              <w:right w:type="dxa" w:w="140"/>
            </w:tcMar>
            <w:vAlign w:val="top"/>
          </w:tcPr>
          <w:p>
            <w:pPr>
              <w:spacing w:before="90" w:after="90"/>
              <w:jc w:val="both"/>
            </w:pPr>
            <w:r>
              <w:rPr>
                <w:rFonts w:ascii="Arial" w:cs="Arial" w:eastAsia="Arial" w:hAnsi="Arial"/>
                <w:i/>
                <w:iCs/>
                <w:color w:val="0D1B2A"/>
                <w:sz w:val="18"/>
                <w:szCs w:val="18"/>
              </w:rPr>
              <w:t xml:space="preserve">Un gasto de Gs. 50.000 en biromes para el Ministerio de Obras Públicas puede registrarse directamente como gasto sin un proceso de activación detallado.</w:t>
            </w:r>
          </w:p>
        </w:tc>
      </w:tr>
      <w:tr>
        <w:tc>
          <w:tcPr>
            <w:tcW w:type="dxa" w:w="350"/>
            <w:tcBorders>
              <w:top w:val="single" w:color="1A3A6B" w:sz="4"/>
              <w:left w:val="single" w:color="1A3A6B" w:sz="4"/>
              <w:bottom w:val="single" w:color="1A3A6B" w:sz="4"/>
              <w:right w:val="single" w:color="1A3A6B" w:sz="4"/>
            </w:tcBorders>
            <w:shd w:fill="EBF3FC" w:val="clear"/>
            <w:tcMar>
              <w:top w:type="dxa" w:w="100"/>
              <w:left w:type="dxa" w:w="140"/>
              <w:bottom w:type="dxa" w:w="100"/>
              <w:right w:type="dxa" w:w="140"/>
            </w:tcMar>
            <w:vAlign w:val="center"/>
          </w:tcPr>
          <w:p>
            <w:pPr>
              <w:spacing w:before="50" w:after="70"/>
              <w:jc w:val="center"/>
            </w:pPr>
            <w:r>
              <w:rPr>
                <w:rFonts w:ascii="Arial" w:cs="Arial" w:eastAsia="Arial" w:hAnsi="Arial"/>
                <w:b/>
                <w:bCs/>
                <w:color w:val="1A3A6B"/>
                <w:sz w:val="20"/>
                <w:szCs w:val="20"/>
              </w:rPr>
              <w:t xml:space="preserve">9</w:t>
            </w:r>
          </w:p>
        </w:tc>
        <w:tc>
          <w:tcPr>
            <w:tcW w:type="dxa" w:w="1700"/>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top"/>
          </w:tcPr>
          <w:p>
            <w:pPr>
              <w:spacing w:before="90" w:after="90"/>
            </w:pPr>
            <w:r>
              <w:rPr>
                <w:rFonts w:ascii="Arial" w:cs="Arial" w:eastAsia="Arial" w:hAnsi="Arial"/>
                <w:b/>
                <w:bCs/>
                <w:color w:val="1A3A6B"/>
                <w:sz w:val="18"/>
                <w:szCs w:val="18"/>
              </w:rPr>
              <w:t xml:space="preserve">BIEN COMÚN</w:t>
            </w:r>
          </w:p>
        </w:tc>
        <w:tc>
          <w:tcPr>
            <w:tcW w:type="dxa" w:w="3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color w:val="0D1B2A"/>
                <w:sz w:val="18"/>
                <w:szCs w:val="18"/>
              </w:rPr>
              <w:t xml:space="preserve">La contabilidad pública sirve al interés general, no a intereses particulares.</w:t>
            </w:r>
          </w:p>
        </w:tc>
        <w:tc>
          <w:tcPr>
            <w:tcW w:type="dxa" w:w="3076"/>
            <w:tcBorders>
              <w:top w:val="single" w:color="CCCCCC" w:sz="4"/>
              <w:left w:val="single" w:color="CCCCCC" w:sz="4"/>
              <w:bottom w:val="single" w:color="CCCCCC" w:sz="4"/>
              <w:right w:val="single" w:color="CCCCCC" w:sz="4"/>
            </w:tcBorders>
            <w:shd w:fill="FFFDE7" w:val="clear"/>
            <w:tcMar>
              <w:top w:type="dxa" w:w="100"/>
              <w:left w:type="dxa" w:w="140"/>
              <w:bottom w:type="dxa" w:w="100"/>
              <w:right w:type="dxa" w:w="140"/>
            </w:tcMar>
            <w:vAlign w:val="top"/>
          </w:tcPr>
          <w:p>
            <w:pPr>
              <w:spacing w:before="90" w:after="90"/>
              <w:jc w:val="both"/>
            </w:pPr>
            <w:r>
              <w:rPr>
                <w:rFonts w:ascii="Arial" w:cs="Arial" w:eastAsia="Arial" w:hAnsi="Arial"/>
                <w:i/>
                <w:iCs/>
                <w:color w:val="0D1B2A"/>
                <w:sz w:val="18"/>
                <w:szCs w:val="18"/>
              </w:rPr>
              <w:t xml:space="preserve">La información financiera del Estado debe publicarse para que cualquier ciudadano pueda consultarla — no es propiedad de los funcionarios que la generan.</w:t>
            </w:r>
          </w:p>
        </w:tc>
      </w:tr>
      <w:tr>
        <w:tc>
          <w:tcPr>
            <w:tcW w:type="dxa" w:w="350"/>
            <w:tcBorders>
              <w:top w:val="single" w:color="1A3A6B" w:sz="4"/>
              <w:left w:val="single" w:color="1A3A6B" w:sz="4"/>
              <w:bottom w:val="single" w:color="1A3A6B" w:sz="4"/>
              <w:right w:val="single" w:color="1A3A6B" w:sz="4"/>
            </w:tcBorders>
            <w:shd w:fill="EBF3FC" w:val="clear"/>
            <w:tcMar>
              <w:top w:type="dxa" w:w="100"/>
              <w:left w:type="dxa" w:w="140"/>
              <w:bottom w:type="dxa" w:w="100"/>
              <w:right w:type="dxa" w:w="140"/>
            </w:tcMar>
            <w:vAlign w:val="center"/>
          </w:tcPr>
          <w:p>
            <w:pPr>
              <w:spacing w:before="50" w:after="70"/>
              <w:jc w:val="center"/>
            </w:pPr>
            <w:r>
              <w:rPr>
                <w:rFonts w:ascii="Arial" w:cs="Arial" w:eastAsia="Arial" w:hAnsi="Arial"/>
                <w:b/>
                <w:bCs/>
                <w:color w:val="1A3A6B"/>
                <w:sz w:val="20"/>
                <w:szCs w:val="20"/>
              </w:rPr>
              <w:t xml:space="preserve">10</w:t>
            </w:r>
          </w:p>
        </w:tc>
        <w:tc>
          <w:tcPr>
            <w:tcW w:type="dxa" w:w="1700"/>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top"/>
          </w:tcPr>
          <w:p>
            <w:pPr>
              <w:spacing w:before="90" w:after="90"/>
            </w:pPr>
            <w:r>
              <w:rPr>
                <w:rFonts w:ascii="Arial" w:cs="Arial" w:eastAsia="Arial" w:hAnsi="Arial"/>
                <w:b/>
                <w:bCs/>
                <w:color w:val="1A3A6B"/>
                <w:sz w:val="18"/>
                <w:szCs w:val="18"/>
              </w:rPr>
              <w:t xml:space="preserve">VALUACIÓN AL COSTO</w:t>
            </w:r>
          </w:p>
        </w:tc>
        <w:tc>
          <w:tcPr>
            <w:tcW w:type="dxa" w:w="39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both"/>
            </w:pPr>
            <w:r>
              <w:rPr>
                <w:rFonts w:ascii="Arial" w:cs="Arial" w:eastAsia="Arial" w:hAnsi="Arial"/>
                <w:color w:val="0D1B2A"/>
                <w:sz w:val="18"/>
                <w:szCs w:val="18"/>
              </w:rPr>
              <w:t xml:space="preserve">Los bienes del Estado se registran a su costo de adquisición o producción, salvo norma específica.</w:t>
            </w:r>
          </w:p>
        </w:tc>
        <w:tc>
          <w:tcPr>
            <w:tcW w:type="dxa" w:w="3076"/>
            <w:tcBorders>
              <w:top w:val="single" w:color="CCCCCC" w:sz="4"/>
              <w:left w:val="single" w:color="CCCCCC" w:sz="4"/>
              <w:bottom w:val="single" w:color="CCCCCC" w:sz="4"/>
              <w:right w:val="single" w:color="CCCCCC" w:sz="4"/>
            </w:tcBorders>
            <w:shd w:fill="FFF9C4" w:val="clear"/>
            <w:tcMar>
              <w:top w:type="dxa" w:w="100"/>
              <w:left w:type="dxa" w:w="140"/>
              <w:bottom w:type="dxa" w:w="100"/>
              <w:right w:type="dxa" w:w="140"/>
            </w:tcMar>
            <w:vAlign w:val="top"/>
          </w:tcPr>
          <w:p>
            <w:pPr>
              <w:spacing w:before="90" w:after="90"/>
              <w:jc w:val="both"/>
            </w:pPr>
            <w:r>
              <w:rPr>
                <w:rFonts w:ascii="Arial" w:cs="Arial" w:eastAsia="Arial" w:hAnsi="Arial"/>
                <w:i/>
                <w:iCs/>
                <w:color w:val="0D1B2A"/>
                <w:sz w:val="18"/>
                <w:szCs w:val="18"/>
              </w:rPr>
              <w:t xml:space="preserve">Un edificio comprado por el Estado en 2010 por Gs. 2.000 millones figura en el balance a ese valor histórico, aunque hoy valga Gs. 8.000 millones.</w:t>
            </w:r>
          </w:p>
        </w:tc>
      </w:tr>
    </w:tbl>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5631" w:sz="4"/>
              <w:left w:val="single" w:color="1E5631" w:sz="4"/>
              <w:bottom w:val="single" w:color="1E5631" w:sz="4"/>
              <w:right w:val="single" w:color="1E5631" w:sz="4"/>
            </w:tcBorders>
            <w:shd w:fill="1E5631" w:val="clear"/>
            <w:tcMar>
              <w:top w:type="dxa" w:w="100"/>
              <w:left w:type="dxa" w:w="140"/>
              <w:bottom w:type="dxa" w:w="100"/>
              <w:right w:type="dxa" w:w="140"/>
            </w:tcMar>
            <w:vAlign w:val="top"/>
          </w:tcPr>
          <w:p>
            <w:pPr>
              <w:spacing w:before="75" w:after="75"/>
              <w:jc w:val="center"/>
            </w:pPr>
            <w:r>
              <w:rPr>
                <w:rFonts w:ascii="Arial" w:cs="Arial" w:eastAsia="Arial" w:hAnsi="Arial"/>
                <w:b/>
                <w:bCs/>
                <w:color w:val="FFFFFF"/>
                <w:sz w:val="20"/>
                <w:szCs w:val="20"/>
              </w:rPr>
              <w:t xml:space="preserve">✅  EJERCICIO RESUELTO 1  —  Identificar el principio violado</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70" w:after="70"/>
              <w:jc w:val="both"/>
            </w:pPr>
            <w:r>
              <w:rPr>
                <w:rFonts w:ascii="Arial" w:cs="Arial" w:eastAsia="Arial" w:hAnsi="Arial"/>
                <w:color w:val="0D1B2A"/>
                <w:sz w:val="21"/>
                <w:szCs w:val="21"/>
              </w:rPr>
              <w:t xml:space="preserve">SITUACIÓN: El Ministerio de Educación recibió el 15 de diciembre una factura por la compra de 5.000 computadoras por valor de Gs. 25.000 millones. Las computadoras llegaron y se distribuyeron a las escuelas en diciembre. Sin embargo, el Contador Fiscal decidió registrar el gasto en enero del año siguiente porque 'el pago se hará en enero'.</w:t>
            </w:r>
          </w:p>
        </w:tc>
      </w:tr>
      <w:tr>
        <w:tc>
          <w:tcPr>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spacing w:before="70" w:after="70"/>
              <w:jc w:val="both"/>
            </w:pPr>
            <w:r>
              <w:rPr>
                <w:rFonts w:ascii="Arial" w:cs="Arial" w:eastAsia="Arial" w:hAnsi="Arial"/>
                <w:color w:val="0D1B2A"/>
                <w:sz w:val="21"/>
                <w:szCs w:val="21"/>
              </w:rPr>
              <w:t xml:space="preserve">PREGUNTA: ¿Qué principio contable se está violando? ¿Cuál es la consecuencia?</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70" w:after="70"/>
              <w:jc w:val="both"/>
            </w:pPr>
            <w:r>
              <w:rPr>
                <w:rFonts w:ascii="Arial" w:cs="Arial" w:eastAsia="Arial" w:hAnsi="Arial"/>
                <w:color w:val="0D1B2A"/>
                <w:sz w:val="21"/>
                <w:szCs w:val="21"/>
              </w:rPr>
              <w:t xml:space="preserve">SOLUCIÓN PASO 1 — Identificar el hecho económico: Las computadoras llegaron y se usaron en diciembre. El Estado ya tiene la obligación de pago desde diciembre (existe la deuda).</w:t>
            </w:r>
          </w:p>
        </w:tc>
      </w:tr>
      <w:tr>
        <w:tc>
          <w:tcPr>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spacing w:before="70" w:after="70"/>
              <w:jc w:val="both"/>
            </w:pPr>
            <w:r>
              <w:rPr>
                <w:rFonts w:ascii="Arial" w:cs="Arial" w:eastAsia="Arial" w:hAnsi="Arial"/>
                <w:color w:val="0D1B2A"/>
                <w:sz w:val="21"/>
                <w:szCs w:val="21"/>
              </w:rPr>
              <w:t xml:space="preserve">SOLUCIÓN PASO 2 — Identificar el principio: Se está violando el principio de BASE DEVENGADA. El gasto debe registrarse cuando el hecho económico ocurre (recepción de las computadoras en diciembre), no cuando se realiza el pago.</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70" w:after="70"/>
              <w:jc w:val="both"/>
            </w:pPr>
            <w:r>
              <w:rPr>
                <w:rFonts w:ascii="Arial" w:cs="Arial" w:eastAsia="Arial" w:hAnsi="Arial"/>
                <w:color w:val="0D1B2A"/>
                <w:sz w:val="21"/>
                <w:szCs w:val="21"/>
              </w:rPr>
              <w:t xml:space="preserve">SOLUCIÓN PASO 3 — Consecuencia: Los estados financieros de diciembre subestimarán el gasto real en Gs. 25.000 millones. El estado de ejecución presupuestaria del año que termina será incorrecto. La Contraloría puede observar esta situación en su auditoría.</w:t>
            </w:r>
          </w:p>
        </w:tc>
      </w:tr>
      <w:tr>
        <w:tc>
          <w:tcPr>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spacing w:before="70" w:after="70"/>
              <w:jc w:val="both"/>
            </w:pPr>
            <w:r>
              <w:rPr>
                <w:rFonts w:ascii="Arial" w:cs="Arial" w:eastAsia="Arial" w:hAnsi="Arial"/>
                <w:color w:val="0D1B2A"/>
                <w:sz w:val="21"/>
                <w:szCs w:val="21"/>
              </w:rPr>
              <w:t xml:space="preserve">ASIENTO CORRECTO (simplificado): Diciembre — Débito: Gastos de Capital — Equipos Informáticos Gs. 25.000 MM / Crédito: Cuentas por Pagar (Deuda con proveedor) Gs. 25.000 MM.</w:t>
            </w:r>
          </w:p>
        </w:tc>
      </w:tr>
    </w:tbl>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7B241C" w:sz="4"/>
              <w:left w:val="single" w:color="7B241C" w:sz="4"/>
              <w:bottom w:val="single" w:color="7B241C" w:sz="4"/>
              <w:right w:val="single" w:color="7B241C" w:sz="4"/>
            </w:tcBorders>
            <w:shd w:fill="7B241C" w:val="clear"/>
            <w:tcMar>
              <w:top w:type="dxa" w:w="100"/>
              <w:left w:type="dxa" w:w="140"/>
              <w:bottom w:type="dxa" w:w="100"/>
              <w:right w:type="dxa" w:w="140"/>
            </w:tcMar>
            <w:vAlign w:val="top"/>
          </w:tcPr>
          <w:p>
            <w:pPr>
              <w:spacing w:before="75" w:after="75"/>
              <w:jc w:val="center"/>
            </w:pPr>
            <w:r>
              <w:rPr>
                <w:rFonts w:ascii="Arial" w:cs="Arial" w:eastAsia="Arial" w:hAnsi="Arial"/>
                <w:b/>
                <w:bCs/>
                <w:color w:val="FFFFFF"/>
                <w:sz w:val="21"/>
                <w:szCs w:val="21"/>
              </w:rPr>
              <w:t xml:space="preserve">📝  EJERCICIO 2</w:t>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Análisis de casos — identifique el principio aplicado o violado:</w:t>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Caso A: La Gobernación de Alto Paraguay registra la compra de un camión en Gs. 800 millones bajo el rubro 'Gastos corrientes de limpieza' en lugar de 'Bienes de capital'. ¿Qué principio se viola? ¿Por qué es grave?</w:t>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Caso B: El Ministerio de Obras Públicas tiene una demanda judicial de Gs. 15.000 millones por expropiación. El abogado del Estado dice que hay un 70% de probabilidad de perder. El contador no provisiona nada porque 'todavía no hay sentencia'. ¿Principio violado?</w:t>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Caso C: El Municipio de Asunción valorizó sus edificios a precio de mercado en 2022, a costo histórico en 2023 y nuevamente a precio de mercado en 2024 sin explicación alguna. ¿Qué principio se viola?</w:t>
            </w:r>
          </w:p>
        </w:tc>
      </w:tr>
      <w:tr>
        <w:tc>
          <w:tcPr>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top"/>
          </w:tcPr>
          <w:p>
            <w:pPr>
              <w:spacing w:before="55" w:after="55"/>
            </w:pPr>
            <w:r>
              <w:rPr>
                <w:rFonts w:ascii="Arial" w:cs="Arial" w:eastAsia="Arial" w:hAnsi="Arial"/>
                <w:b/>
                <w:bCs/>
                <w:color w:val="1A3A6B"/>
                <w:sz w:val="20"/>
                <w:szCs w:val="20"/>
              </w:rPr>
              <w:t xml:space="preserve">Resolución:</w:t>
            </w:r>
          </w:p>
        </w:tc>
      </w:tr>
      <w:tr>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r>
        <w:tc>
          <w:tcPr>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r>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r>
        <w:tc>
          <w:tcPr>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r>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r>
        <w:tc>
          <w:tcPr>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r>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r>
        <w:tc>
          <w:tcPr>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110" w:after="110"/>
              <w:jc w:val="center"/>
            </w:pPr>
            <w:r>
              <w:rPr>
                <w:rFonts w:ascii="Arial" w:cs="Arial" w:eastAsia="Arial" w:hAnsi="Arial"/>
                <w:b/>
                <w:bCs/>
                <w:color w:val="FFFFFF"/>
                <w:sz w:val="30"/>
                <w:szCs w:val="30"/>
              </w:rPr>
              <w:t xml:space="preserve">📖  BLOQUE 3  —  ECONOMÍA DEL SECTOR PÚBLICO</w:t>
            </w:r>
          </w:p>
        </w:tc>
      </w:tr>
    </w:tbl>
    <w:p>
      <w:pPr>
        <w:spacing w:before="80"/>
      </w:pPr>
    </w:p>
    <w:p>
      <w:pPr>
        <w:pBdr>
          <w:bottom w:val="single" w:color="C9A227" w:sz="8" w:space="2"/>
        </w:pBdr>
        <w:spacing w:before="280" w:after="100"/>
      </w:pPr>
      <w:r>
        <w:rPr>
          <w:rFonts w:ascii="Arial" w:cs="Arial" w:eastAsia="Arial" w:hAnsi="Arial"/>
          <w:b/>
          <w:bCs/>
          <w:color w:val="1A3A6B"/>
          <w:sz w:val="26"/>
          <w:szCs w:val="26"/>
        </w:rPr>
        <w:t xml:space="preserve">3.1  ¿Por qué existe el Estado en la economía?</w:t>
      </w:r>
    </w:p>
    <w:p>
      <w:pPr>
        <w:spacing w:before="60" w:after="85"/>
        <w:jc w:val="both"/>
      </w:pPr>
      <w:r>
        <w:rPr>
          <w:rFonts w:ascii="Arial" w:cs="Arial" w:eastAsia="Arial" w:hAnsi="Arial"/>
          <w:color w:val="0D1B2A"/>
          <w:sz w:val="22"/>
          <w:szCs w:val="22"/>
        </w:rPr>
        <w:t xml:space="preserve">Esta es una pregunta filosófica y económica fundamental. La respuesta simplista sería: 'porque sin Estado habría caos'. Pero la respuesta técnica es más precisa: el Estado existe en la economía porque el mercado falla en ciertos casos y alguien tiene que corregir esas fallas.</w:t>
      </w:r>
    </w:p>
    <w:p>
      <w:pPr>
        <w:spacing w:before="60" w:after="85"/>
        <w:jc w:val="both"/>
      </w:pPr>
      <w:r>
        <w:rPr>
          <w:rFonts w:ascii="Arial" w:cs="Arial" w:eastAsia="Arial" w:hAnsi="Arial"/>
          <w:color w:val="0D1B2A"/>
          <w:sz w:val="22"/>
          <w:szCs w:val="22"/>
        </w:rPr>
        <w:t xml:space="preserve">En economía, una 'falla de mercado' ocurre cuando el mercado libre no asigna eficientemente los recursos — es decir, cuando la suma de decisiones individuales no produce el mejor resultado para la sociedad. Hay cuatro grandes fallas de mercado que justifican la intervención del Estado:</w:t>
      </w:r>
    </w:p>
    <w:p>
      <w:pPr>
        <w:spacing w:before="3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600"/>
        <w:gridCol w:w="2826"/>
      </w:tblGrid>
      <w:tr>
        <w:tc>
          <w:tcPr>
            <w:tcW w:type="dxa" w:w="1600"/>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5" w:after="65"/>
              <w:jc w:val="center"/>
            </w:pPr>
            <w:r>
              <w:rPr>
                <w:rFonts w:ascii="Arial" w:cs="Arial" w:eastAsia="Arial" w:hAnsi="Arial"/>
                <w:b/>
                <w:bCs/>
                <w:color w:val="FFFFFF"/>
                <w:sz w:val="18"/>
                <w:szCs w:val="18"/>
              </w:rPr>
              <w:t xml:space="preserve">Falla de mercado</w:t>
            </w:r>
          </w:p>
        </w:tc>
        <w:tc>
          <w:tcPr>
            <w:tcW w:type="dxa" w:w="2000"/>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5" w:after="65"/>
              <w:jc w:val="center"/>
            </w:pPr>
            <w:r>
              <w:rPr>
                <w:rFonts w:ascii="Arial" w:cs="Arial" w:eastAsia="Arial" w:hAnsi="Arial"/>
                <w:b/>
                <w:bCs/>
                <w:color w:val="FFFFFF"/>
                <w:sz w:val="18"/>
                <w:szCs w:val="18"/>
              </w:rPr>
              <w:t xml:space="preserve">¿Qué es?</w:t>
            </w:r>
          </w:p>
        </w:tc>
        <w:tc>
          <w:tcPr>
            <w:tcW w:type="dxa" w:w="2600"/>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5" w:after="65"/>
              <w:jc w:val="center"/>
            </w:pPr>
            <w:r>
              <w:rPr>
                <w:rFonts w:ascii="Arial" w:cs="Arial" w:eastAsia="Arial" w:hAnsi="Arial"/>
                <w:b/>
                <w:bCs/>
                <w:color w:val="FFFFFF"/>
                <w:sz w:val="18"/>
                <w:szCs w:val="18"/>
              </w:rPr>
              <w:t xml:space="preserve">Ejemplo Paraguay</w:t>
            </w:r>
          </w:p>
        </w:tc>
        <w:tc>
          <w:tcPr>
            <w:tcW w:type="dxa" w:w="2826"/>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5" w:after="65"/>
              <w:jc w:val="center"/>
            </w:pPr>
            <w:r>
              <w:rPr>
                <w:rFonts w:ascii="Arial" w:cs="Arial" w:eastAsia="Arial" w:hAnsi="Arial"/>
                <w:b/>
                <w:bCs/>
                <w:color w:val="FFFFFF"/>
                <w:sz w:val="18"/>
                <w:szCs w:val="18"/>
              </w:rPr>
              <w:t xml:space="preserve">Respuesta del Estado</w:t>
            </w:r>
          </w:p>
        </w:tc>
      </w:tr>
      <w:tr>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left"/>
            </w:pPr>
            <w:r>
              <w:rPr>
                <w:rFonts w:ascii="Arial" w:cs="Arial" w:eastAsia="Arial" w:hAnsi="Arial"/>
                <w:b/>
                <w:bCs/>
                <w:color w:val="1A3A6B"/>
                <w:sz w:val="19"/>
                <w:szCs w:val="19"/>
              </w:rPr>
              <w:t xml:space="preserve">Bienes públicos</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Bienes no rivales (su uso por una persona no reduce la disponibilidad para otra) y no excluibles (no se puede impedir que alguien los use).</w:t>
            </w:r>
          </w:p>
        </w:tc>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Defensa nacional, alumbrado público en Asunción, señalización vial.</w:t>
            </w:r>
          </w:p>
        </w:tc>
        <w:tc>
          <w:tcPr>
            <w:tcW w:type="dxa" w:w="28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El Estado los provee directamente porque el mercado no lo haría — nadie pagaría voluntariamente por algo que puede usar gratis.</w:t>
            </w:r>
          </w:p>
        </w:tc>
      </w:tr>
      <w:tr>
        <w:tc>
          <w:tcPr>
            <w:tcW w:type="dxa" w:w="16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left"/>
            </w:pPr>
            <w:r>
              <w:rPr>
                <w:rFonts w:ascii="Arial" w:cs="Arial" w:eastAsia="Arial" w:hAnsi="Arial"/>
                <w:b/>
                <w:bCs/>
                <w:color w:val="1A3A6B"/>
                <w:sz w:val="19"/>
                <w:szCs w:val="19"/>
              </w:rPr>
              <w:t xml:space="preserve">Externalidades</w:t>
            </w:r>
          </w:p>
        </w:tc>
        <w:tc>
          <w:tcPr>
            <w:tcW w:type="dxa" w:w="20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Efectos de una actividad sobre terceros que no se reflejan en el precio de mercado.</w:t>
            </w:r>
          </w:p>
        </w:tc>
        <w:tc>
          <w:tcPr>
            <w:tcW w:type="dxa" w:w="26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Positiva: una empresa que capacita a sus empleados beneficia a toda la sociedad. Negativa: una industria que contamina el Río Paraguay perjudica a pescadores y comunidades.</w:t>
            </w:r>
          </w:p>
        </w:tc>
        <w:tc>
          <w:tcPr>
            <w:tcW w:type="dxa" w:w="2826"/>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Impuestos a actividades con externalidades negativas (impuesto al carbono, multas ambientales). Subsidios a actividades con externalidades positivas (educación pública, vacunación).</w:t>
            </w:r>
          </w:p>
        </w:tc>
      </w:tr>
      <w:tr>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left"/>
            </w:pPr>
            <w:r>
              <w:rPr>
                <w:rFonts w:ascii="Arial" w:cs="Arial" w:eastAsia="Arial" w:hAnsi="Arial"/>
                <w:b/>
                <w:bCs/>
                <w:color w:val="1A3A6B"/>
                <w:sz w:val="19"/>
                <w:szCs w:val="19"/>
              </w:rPr>
              <w:t xml:space="preserve">Información asimétrica</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Una de las partes de una transacción tiene más información que la otra.</w:t>
            </w:r>
          </w:p>
        </w:tc>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El médico sabe más que el paciente. El vendedor de autos usados sabe más que el comprador sobre las fallas del vehículo.</w:t>
            </w:r>
          </w:p>
        </w:tc>
        <w:tc>
          <w:tcPr>
            <w:tcW w:type="dxa" w:w="28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Regulación (habilitaciones, controles de calidad, organismos como SENAVE, SENACSA, DINAVISA).</w:t>
            </w:r>
          </w:p>
        </w:tc>
      </w:tr>
      <w:tr>
        <w:tc>
          <w:tcPr>
            <w:tcW w:type="dxa" w:w="16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left"/>
            </w:pPr>
            <w:r>
              <w:rPr>
                <w:rFonts w:ascii="Arial" w:cs="Arial" w:eastAsia="Arial" w:hAnsi="Arial"/>
                <w:b/>
                <w:bCs/>
                <w:color w:val="1A3A6B"/>
                <w:sz w:val="19"/>
                <w:szCs w:val="19"/>
              </w:rPr>
              <w:t xml:space="preserve">Poder de mercado</w:t>
            </w:r>
          </w:p>
        </w:tc>
        <w:tc>
          <w:tcPr>
            <w:tcW w:type="dxa" w:w="20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Una empresa o grupo controla el mercado y puede fijar precios monopólicos.</w:t>
            </w:r>
          </w:p>
        </w:tc>
        <w:tc>
          <w:tcPr>
            <w:tcW w:type="dxa" w:w="26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ANDE (electricidad), ESSAP (agua potable) son monopolios naturales.</w:t>
            </w:r>
          </w:p>
        </w:tc>
        <w:tc>
          <w:tcPr>
            <w:tcW w:type="dxa" w:w="2826"/>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El Estado regula tarifas, provee el servicio directamente o crea entes reguladores (URSEA, CNDC).</w:t>
            </w:r>
          </w:p>
        </w:tc>
      </w:tr>
    </w:tbl>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5631" w:sz="4"/>
              <w:left w:val="single" w:color="1E5631" w:sz="4"/>
              <w:bottom w:val="single" w:color="1E5631" w:sz="4"/>
              <w:right w:val="single" w:color="1E5631" w:sz="4"/>
            </w:tcBorders>
            <w:shd w:fill="1E5631" w:val="clear"/>
            <w:tcMar>
              <w:top w:type="dxa" w:w="100"/>
              <w:left w:type="dxa" w:w="140"/>
              <w:bottom w:type="dxa" w:w="100"/>
              <w:right w:type="dxa" w:w="140"/>
            </w:tcMar>
            <w:vAlign w:val="top"/>
          </w:tcPr>
          <w:p>
            <w:pPr>
              <w:spacing w:before="75" w:after="75"/>
              <w:jc w:val="center"/>
            </w:pPr>
            <w:r>
              <w:rPr>
                <w:rFonts w:ascii="Arial" w:cs="Arial" w:eastAsia="Arial" w:hAnsi="Arial"/>
                <w:b/>
                <w:bCs/>
                <w:color w:val="FFFFFF"/>
                <w:sz w:val="20"/>
                <w:szCs w:val="20"/>
              </w:rPr>
              <w:t xml:space="preserve">✏️  EJEMPLO 3  —  Las Tres Funciones Clásicas del Estado según Musgrave</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65" w:after="65"/>
              <w:jc w:val="both"/>
            </w:pPr>
            <w:r>
              <w:rPr>
                <w:rFonts w:ascii="Arial" w:cs="Arial" w:eastAsia="Arial" w:hAnsi="Arial"/>
                <w:color w:val="0D1B2A"/>
                <w:sz w:val="21"/>
                <w:szCs w:val="21"/>
              </w:rPr>
              <w:t xml:space="preserve">El economista Richard Musgrave identificó en 1959 las tres funciones económicas del Estado, que siguen siendo el marco más usado en finanzas públicas:</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65" w:after="65"/>
              <w:jc w:val="both"/>
            </w:pPr>
            <w:r>
              <w:rPr>
                <w:rFonts w:ascii="Arial" w:cs="Arial" w:eastAsia="Arial" w:hAnsi="Arial"/>
                <w:color w:val="0D1B2A"/>
                <w:sz w:val="21"/>
                <w:szCs w:val="21"/>
              </w:rPr>
              <w:t xml:space="preserve">1. FUNCIÓN ASIGNATIVA: El Estado provee bienes y servicios que el mercado no provee o sub-provee. En Paraguay: ANDE provee electricidad a zonas rurales que no serían rentables para una empresa privada. El MSPBS provee salud gratuita en hospitales nacionales.</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65" w:after="65"/>
              <w:jc w:val="both"/>
            </w:pPr>
            <w:r>
              <w:rPr>
                <w:rFonts w:ascii="Arial" w:cs="Arial" w:eastAsia="Arial" w:hAnsi="Arial"/>
                <w:color w:val="0D1B2A"/>
                <w:sz w:val="21"/>
                <w:szCs w:val="21"/>
              </w:rPr>
              <w:t xml:space="preserve">2. FUNCIÓN DISTRIBUTIVA: El Estado redistribuye el ingreso para reducir la desigualdad. En Paraguay: el sistema tributario (IVA, IRE, IRP) recauda impuestos y el gasto social (Tekoporã, becas del BECAL, pensión alimentaria a adultos mayores) transfiere recursos a los sectores más vulnerables.</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65" w:after="65"/>
              <w:jc w:val="both"/>
            </w:pPr>
            <w:r>
              <w:rPr>
                <w:rFonts w:ascii="Arial" w:cs="Arial" w:eastAsia="Arial" w:hAnsi="Arial"/>
                <w:color w:val="0D1B2A"/>
                <w:sz w:val="21"/>
                <w:szCs w:val="21"/>
              </w:rPr>
              <w:t xml:space="preserve">3. FUNCIÓN ESTABILIZADORA: El Estado regula la economía para evitar ciclos de alta inflación o desempleo. En Paraguay: el Banco Central (BCP) maneja la política monetaria. El Ministerio de Hacienda maneja el gasto público para no generar déficit fiscal excesivo.</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65" w:after="65"/>
              <w:jc w:val="both"/>
            </w:pPr>
            <w:r>
              <w:rPr>
                <w:rFonts w:ascii="Arial" w:cs="Arial" w:eastAsia="Arial" w:hAnsi="Arial"/>
                <w:color w:val="0D1B2A"/>
                <w:sz w:val="21"/>
                <w:szCs w:val="21"/>
              </w:rPr>
              <w:t xml:space="preserve">Conexión con la Contabilidad Pública: Cada una de estas funciones genera transacciones económicas que la Contabilidad Pública debe registrar, clasificar y reportar. Sin un buen sistema contable, sería imposible evaluar si el Estado está cumpliendo eficientemente sus tres funciones.</w:t>
            </w:r>
          </w:p>
        </w:tc>
      </w:tr>
    </w:tbl>
    <w:p>
      <w:pPr>
        <w:spacing w:before="60"/>
      </w:pPr>
    </w:p>
    <w:p>
      <w:pPr>
        <w:pBdr>
          <w:bottom w:val="single" w:color="C9A227" w:sz="8" w:space="2"/>
        </w:pBdr>
        <w:spacing w:before="280" w:after="100"/>
      </w:pPr>
      <w:r>
        <w:rPr>
          <w:rFonts w:ascii="Arial" w:cs="Arial" w:eastAsia="Arial" w:hAnsi="Arial"/>
          <w:b/>
          <w:bCs/>
          <w:color w:val="1A3A6B"/>
          <w:sz w:val="26"/>
          <w:szCs w:val="26"/>
        </w:rPr>
        <w:t xml:space="preserve">3.2  El Presupuesto General de la Nación (PGN) como expresión financiera del Estado</w:t>
      </w:r>
    </w:p>
    <w:p>
      <w:pPr>
        <w:spacing w:before="60" w:after="85"/>
        <w:jc w:val="both"/>
      </w:pPr>
      <w:r>
        <w:rPr>
          <w:rFonts w:ascii="Arial" w:cs="Arial" w:eastAsia="Arial" w:hAnsi="Arial"/>
          <w:color w:val="0D1B2A"/>
          <w:sz w:val="22"/>
          <w:szCs w:val="22"/>
        </w:rPr>
        <w:t xml:space="preserve">Si las tres funciones del Estado son el 'qué hace', el Presupuesto General de la Nación es el 'con cuánto lo hace y en qué'. El PGN es la ley más importante del año después de la Constitución, porque determina cuánto ingresa al Estado, cuánto puede gastar y en qué prioridades.</w:t>
      </w:r>
    </w:p>
    <w:p>
      <w:pPr>
        <w:spacing w:before="60" w:after="85"/>
        <w:jc w:val="both"/>
      </w:pPr>
      <w:r>
        <w:rPr>
          <w:rFonts w:ascii="Arial" w:cs="Arial" w:eastAsia="Arial" w:hAnsi="Arial"/>
          <w:color w:val="0D1B2A"/>
          <w:sz w:val="22"/>
          <w:szCs w:val="22"/>
        </w:rPr>
        <w:t xml:space="preserve">En Paraguay, el PGN es elaborado por el Ministerio de Hacienda con base en los anteproyectos de cada institución, aprobado por el Congreso Nacional antes del 30 de noviembre del año anterior, y ejecutado durante el año fiscal (enero-diciembre). Al final del año, la Contabilidad Pública produce la Cuenta General del Ejercicio que muestra qué tan bien se ejecutó ese presupuesto.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tcBorders>
              <w:top w:val="single" w:color="C9A227" w:sz="4"/>
              <w:left w:val="single" w:color="C9A227" w:sz="4"/>
              <w:bottom w:val="single" w:color="C9A227" w:sz="4"/>
              <w:right w:val="single" w:color="C9A227" w:sz="4"/>
            </w:tcBorders>
            <w:shd w:fill="FFFACD" w:val="clear"/>
            <w:tcMar>
              <w:top w:type="dxa" w:w="100"/>
              <w:left w:type="dxa" w:w="140"/>
              <w:bottom w:type="dxa" w:w="100"/>
              <w:right w:type="dxa" w:w="140"/>
            </w:tcMar>
            <w:vAlign w:val="center"/>
          </w:tcPr>
          <w:p>
            <w:pPr>
              <w:spacing w:before="50" w:after="70"/>
              <w:jc w:val="center"/>
            </w:pPr>
            <w:r>
              <w:rPr>
                <w:rFonts w:ascii="Arial" w:cs="Arial" w:eastAsia="Arial" w:hAnsi="Arial"/>
                <w:b/>
                <w:bCs/>
                <w:color w:val="0D1B2A"/>
                <w:sz w:val="28"/>
                <w:szCs w:val="28"/>
              </w:rPr>
              <w:t xml:space="preserve">💡</w:t>
            </w:r>
          </w:p>
        </w:tc>
        <w:tc>
          <w:tcPr>
            <w:tcBorders>
              <w:top w:val="single" w:color="C9A227" w:sz="4"/>
              <w:left w:val="single" w:color="C9A227" w:sz="4"/>
              <w:bottom w:val="single" w:color="C9A227" w:sz="4"/>
              <w:right w:val="single" w:color="C9A227" w:sz="4"/>
            </w:tcBorders>
            <w:shd w:fill="FFFACD" w:val="clear"/>
            <w:tcMar>
              <w:top w:type="dxa" w:w="100"/>
              <w:left w:type="dxa" w:w="140"/>
              <w:bottom w:type="dxa" w:w="100"/>
              <w:right w:type="dxa" w:w="140"/>
            </w:tcMar>
            <w:vAlign w:val="top"/>
          </w:tcPr>
          <w:p>
            <w:pPr>
              <w:spacing w:before="80" w:after="80"/>
              <w:jc w:val="both"/>
            </w:pPr>
            <w:r>
              <w:rPr>
                <w:rFonts w:ascii="Arial" w:cs="Arial" w:eastAsia="Arial" w:hAnsi="Arial"/>
                <w:color w:val="0D1B2A"/>
                <w:sz w:val="21"/>
                <w:szCs w:val="21"/>
              </w:rPr>
              <w:t xml:space="preserve">DATO CLAVE 2024: El Presupuesto General de la Nación 2024 de Paraguay fue aprobado en Gs. 123 billones (aproximadamente USD 16.700 millones). El 64% corresponde a la Administración Central y el 36% a entidades descentralizadas, empresas públicas y gobiernos subnacionales.</w:t>
            </w:r>
          </w:p>
        </w:tc>
      </w:tr>
    </w:tbl>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5631" w:sz="4"/>
              <w:left w:val="single" w:color="1E5631" w:sz="4"/>
              <w:bottom w:val="single" w:color="1E5631" w:sz="4"/>
              <w:right w:val="single" w:color="1E5631" w:sz="4"/>
            </w:tcBorders>
            <w:shd w:fill="1E5631" w:val="clear"/>
            <w:tcMar>
              <w:top w:type="dxa" w:w="100"/>
              <w:left w:type="dxa" w:w="140"/>
              <w:bottom w:type="dxa" w:w="100"/>
              <w:right w:type="dxa" w:w="140"/>
            </w:tcMar>
            <w:vAlign w:val="top"/>
          </w:tcPr>
          <w:p>
            <w:pPr>
              <w:spacing w:before="75" w:after="75"/>
              <w:jc w:val="center"/>
            </w:pPr>
            <w:r>
              <w:rPr>
                <w:rFonts w:ascii="Arial" w:cs="Arial" w:eastAsia="Arial" w:hAnsi="Arial"/>
                <w:b/>
                <w:bCs/>
                <w:color w:val="FFFFFF"/>
                <w:sz w:val="20"/>
                <w:szCs w:val="20"/>
              </w:rPr>
              <w:t xml:space="preserve">✏️  EJEMPLO 4  —  ¿Cómo se relaciona el PGN con la Contabilidad Pública? — Ciclo completo</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65" w:after="65"/>
              <w:jc w:val="both"/>
            </w:pPr>
            <w:r>
              <w:rPr>
                <w:rFonts w:ascii="Arial" w:cs="Arial" w:eastAsia="Arial" w:hAnsi="Arial"/>
                <w:color w:val="0D1B2A"/>
                <w:sz w:val="21"/>
                <w:szCs w:val="21"/>
              </w:rPr>
              <w:t xml:space="preserve">Paso 1 — FORMULACIÓN: El Ministerio de Educación planifica que necesita Gs. 12.000 millones para comprar libros de texto en 2024. Presenta su anteproyecto al MHCP.</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65" w:after="65"/>
              <w:jc w:val="both"/>
            </w:pPr>
            <w:r>
              <w:rPr>
                <w:rFonts w:ascii="Arial" w:cs="Arial" w:eastAsia="Arial" w:hAnsi="Arial"/>
                <w:color w:val="0D1B2A"/>
                <w:sz w:val="21"/>
                <w:szCs w:val="21"/>
              </w:rPr>
              <w:t xml:space="preserve">Paso 2 — APROBACIÓN LEGISLATIVA: El Congreso aprueba el PGN con esa partida de Gs. 12.000 millones para el MINEDU.</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65" w:after="65"/>
              <w:jc w:val="both"/>
            </w:pPr>
            <w:r>
              <w:rPr>
                <w:rFonts w:ascii="Arial" w:cs="Arial" w:eastAsia="Arial" w:hAnsi="Arial"/>
                <w:color w:val="0D1B2A"/>
                <w:sz w:val="21"/>
                <w:szCs w:val="21"/>
              </w:rPr>
              <w:t xml:space="preserve">Paso 3 — COMPROMISO: En marzo, el MINEDU lanza una licitación y adjudica a una editorial por Gs. 10.500 millones. En el SIAF se registra el COMPROMISO: Gs. 10.500 millones del presupuesto quedan reservados.</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65" w:after="65"/>
              <w:jc w:val="both"/>
            </w:pPr>
            <w:r>
              <w:rPr>
                <w:rFonts w:ascii="Arial" w:cs="Arial" w:eastAsia="Arial" w:hAnsi="Arial"/>
                <w:color w:val="0D1B2A"/>
                <w:sz w:val="21"/>
                <w:szCs w:val="21"/>
              </w:rPr>
              <w:t xml:space="preserve">Paso 4 — DEVENGAMIENTO: En agosto, la editorial entrega los libros. El MINEDU los recibe conforme. En el SIAF se registra el DEVENGAMIENTO: nace la obligación de pagar Gs. 10.500 millones.</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65" w:after="65"/>
              <w:jc w:val="both"/>
            </w:pPr>
            <w:r>
              <w:rPr>
                <w:rFonts w:ascii="Arial" w:cs="Arial" w:eastAsia="Arial" w:hAnsi="Arial"/>
                <w:color w:val="0D1B2A"/>
                <w:sz w:val="21"/>
                <w:szCs w:val="21"/>
              </w:rPr>
              <w:t xml:space="preserve">Paso 5 — PAGO: En septiembre, el Ministerio de Hacienda (Tesorería) transfiere los fondos a la editorial. Se registra el PAGO efectivo.</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65" w:after="65"/>
              <w:jc w:val="both"/>
            </w:pPr>
            <w:r>
              <w:rPr>
                <w:rFonts w:ascii="Arial" w:cs="Arial" w:eastAsia="Arial" w:hAnsi="Arial"/>
                <w:color w:val="0D1B2A"/>
                <w:sz w:val="21"/>
                <w:szCs w:val="21"/>
              </w:rPr>
              <w:t xml:space="preserve">Paso 6 — CONTABILIZACIÓN: La Contabilidad Pública registra toda esta secuencia. Al 31 de diciembre, el Estado de Ejecución Presupuestaria mostrará: crédito vigente Gs. 12.000 MM / comprometido Gs. 10.500 MM / devengado Gs. 10.500 MM / pagado Gs. 10.500 MM / economía Gs. 1.500 MM.</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65" w:after="65"/>
              <w:jc w:val="both"/>
            </w:pPr>
            <w:r>
              <w:rPr>
                <w:rFonts w:ascii="Arial" w:cs="Arial" w:eastAsia="Arial" w:hAnsi="Arial"/>
                <w:color w:val="0D1B2A"/>
                <w:sz w:val="21"/>
                <w:szCs w:val="21"/>
              </w:rPr>
              <w:t xml:space="preserve">Conclusión: La Contabilidad Pública registra CADA ETAPA del ciclo. Esto permite saber en todo momento en qué estado está cada gasto del Estado paraguayo.</w:t>
            </w:r>
          </w:p>
        </w:tc>
      </w:tr>
    </w:tbl>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5631" w:sz="4"/>
              <w:left w:val="single" w:color="1E5631" w:sz="4"/>
              <w:bottom w:val="single" w:color="1E5631" w:sz="4"/>
              <w:right w:val="single" w:color="1E5631" w:sz="4"/>
            </w:tcBorders>
            <w:shd w:fill="1E5631" w:val="clear"/>
            <w:tcMar>
              <w:top w:type="dxa" w:w="100"/>
              <w:left w:type="dxa" w:w="140"/>
              <w:bottom w:type="dxa" w:w="100"/>
              <w:right w:type="dxa" w:w="140"/>
            </w:tcMar>
            <w:vAlign w:val="top"/>
          </w:tcPr>
          <w:p>
            <w:pPr>
              <w:spacing w:before="75" w:after="75"/>
              <w:jc w:val="center"/>
            </w:pPr>
            <w:r>
              <w:rPr>
                <w:rFonts w:ascii="Arial" w:cs="Arial" w:eastAsia="Arial" w:hAnsi="Arial"/>
                <w:b/>
                <w:bCs/>
                <w:color w:val="FFFFFF"/>
                <w:sz w:val="20"/>
                <w:szCs w:val="20"/>
              </w:rPr>
              <w:t xml:space="preserve">✅  EJERCICIO RESUELTO 2  —  Calcular la ejecución presupuestaria — Caso Ministerio de Salud</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70" w:after="70"/>
              <w:jc w:val="both"/>
            </w:pPr>
            <w:r>
              <w:rPr>
                <w:rFonts w:ascii="Arial" w:cs="Arial" w:eastAsia="Arial" w:hAnsi="Arial"/>
                <w:color w:val="0D1B2A"/>
                <w:sz w:val="21"/>
                <w:szCs w:val="21"/>
              </w:rPr>
              <w:t xml:space="preserve">DATOS: El Ministerio de Salud Pública tiene asignados para el año los siguientes créditos presupuestarios:</w:t>
            </w:r>
          </w:p>
        </w:tc>
      </w:tr>
      <w:tr>
        <w:tc>
          <w:tcPr>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spacing w:before="70" w:after="70"/>
              <w:jc w:val="both"/>
            </w:pPr>
            <w:r>
              <w:rPr>
                <w:rFonts w:ascii="Arial" w:cs="Arial" w:eastAsia="Arial" w:hAnsi="Arial"/>
                <w:color w:val="0D1B2A"/>
                <w:sz w:val="21"/>
                <w:szCs w:val="21"/>
              </w:rPr>
              <w:t xml:space="preserve">• Servicios Personales (sueldos): Gs. 850.000 millones</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70" w:after="70"/>
              <w:jc w:val="both"/>
            </w:pPr>
            <w:r>
              <w:rPr>
                <w:rFonts w:ascii="Arial" w:cs="Arial" w:eastAsia="Arial" w:hAnsi="Arial"/>
                <w:color w:val="0D1B2A"/>
                <w:sz w:val="21"/>
                <w:szCs w:val="21"/>
              </w:rPr>
              <w:t xml:space="preserve">• Servicios no Personales (luz, agua, internet): Gs. 45.000 millones</w:t>
            </w:r>
          </w:p>
        </w:tc>
      </w:tr>
      <w:tr>
        <w:tc>
          <w:tcPr>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spacing w:before="70" w:after="70"/>
              <w:jc w:val="both"/>
            </w:pPr>
            <w:r>
              <w:rPr>
                <w:rFonts w:ascii="Arial" w:cs="Arial" w:eastAsia="Arial" w:hAnsi="Arial"/>
                <w:color w:val="0D1B2A"/>
                <w:sz w:val="21"/>
                <w:szCs w:val="21"/>
              </w:rPr>
              <w:t xml:space="preserve">• Bienes de Consumo (medicamentos, insumos): Gs. 120.000 millones</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70" w:after="70"/>
              <w:jc w:val="both"/>
            </w:pPr>
            <w:r>
              <w:rPr>
                <w:rFonts w:ascii="Arial" w:cs="Arial" w:eastAsia="Arial" w:hAnsi="Arial"/>
                <w:color w:val="0D1B2A"/>
                <w:sz w:val="21"/>
                <w:szCs w:val="21"/>
              </w:rPr>
              <w:t xml:space="preserve">• Bienes de Capital (equipos médicos): Gs. 80.000 millones</w:t>
            </w:r>
          </w:p>
        </w:tc>
      </w:tr>
      <w:tr>
        <w:tc>
          <w:tcPr>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spacing w:before="70" w:after="70"/>
              <w:jc w:val="both"/>
            </w:pPr>
            <w:r>
              <w:rPr>
                <w:rFonts w:ascii="Arial" w:cs="Arial" w:eastAsia="Arial" w:hAnsi="Arial"/>
                <w:color w:val="0D1B2A"/>
                <w:sz w:val="21"/>
                <w:szCs w:val="21"/>
              </w:rPr>
              <w:t xml:space="preserve">Al 30 de septiembre (9 meses del año) se ejecutó: Sueldos Gs. 637.500 MM · Servicios Gs. 31.500 MM · Bienes consumo Gs. 72.000 MM · Bienes capital Gs. 18.000 MM</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70" w:after="70"/>
              <w:jc w:val="both"/>
            </w:pPr>
            <w:r>
              <w:rPr>
                <w:rFonts w:ascii="Arial" w:cs="Arial" w:eastAsia="Arial" w:hAnsi="Arial"/>
                <w:color w:val="0D1B2A"/>
                <w:sz w:val="21"/>
                <w:szCs w:val="21"/>
              </w:rPr>
              <w:t xml:space="preserve">PASO 1 — Calcular el % de ejecución por rubro a septiembre:</w:t>
            </w:r>
          </w:p>
        </w:tc>
      </w:tr>
      <w:tr>
        <w:tc>
          <w:tcPr>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spacing w:before="70" w:after="70"/>
              <w:jc w:val="both"/>
            </w:pPr>
            <w:r>
              <w:rPr>
                <w:rFonts w:ascii="Arial" w:cs="Arial" w:eastAsia="Arial" w:hAnsi="Arial"/>
                <w:color w:val="0D1B2A"/>
                <w:sz w:val="21"/>
                <w:szCs w:val="21"/>
              </w:rPr>
              <w:t xml:space="preserve">• Sueldos: 637.500 / 850.000 = 75,0% → Normal (9 meses = 75% del año)</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70" w:after="70"/>
              <w:jc w:val="both"/>
            </w:pPr>
            <w:r>
              <w:rPr>
                <w:rFonts w:ascii="Arial" w:cs="Arial" w:eastAsia="Arial" w:hAnsi="Arial"/>
                <w:color w:val="0D1B2A"/>
                <w:sz w:val="21"/>
                <w:szCs w:val="21"/>
              </w:rPr>
              <w:t xml:space="preserve">• Servicios no personales: 31.500 / 45.000 = 70,0% → Ligeramente bajo</w:t>
            </w:r>
          </w:p>
        </w:tc>
      </w:tr>
      <w:tr>
        <w:tc>
          <w:tcPr>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spacing w:before="70" w:after="70"/>
              <w:jc w:val="both"/>
            </w:pPr>
            <w:r>
              <w:rPr>
                <w:rFonts w:ascii="Arial" w:cs="Arial" w:eastAsia="Arial" w:hAnsi="Arial"/>
                <w:color w:val="0D1B2A"/>
                <w:sz w:val="21"/>
                <w:szCs w:val="21"/>
              </w:rPr>
              <w:t xml:space="preserve">• Bienes de consumo (medicamentos): 72.000 / 120.000 = 60,0% → BAJO — solo 60% en 75% del año</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70" w:after="70"/>
              <w:jc w:val="both"/>
            </w:pPr>
            <w:r>
              <w:rPr>
                <w:rFonts w:ascii="Arial" w:cs="Arial" w:eastAsia="Arial" w:hAnsi="Arial"/>
                <w:color w:val="0D1B2A"/>
                <w:sz w:val="21"/>
                <w:szCs w:val="21"/>
              </w:rPr>
              <w:t xml:space="preserve">• Bienes de capital: 18.000 / 80.000 = 22,5% → MUY BAJO — señal de alerta</w:t>
            </w:r>
          </w:p>
        </w:tc>
      </w:tr>
      <w:tr>
        <w:tc>
          <w:tcPr>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spacing w:before="70" w:after="70"/>
              <w:jc w:val="both"/>
            </w:pPr>
            <w:r>
              <w:rPr>
                <w:rFonts w:ascii="Arial" w:cs="Arial" w:eastAsia="Arial" w:hAnsi="Arial"/>
                <w:color w:val="0D1B2A"/>
                <w:sz w:val="21"/>
                <w:szCs w:val="21"/>
              </w:rPr>
              <w:t xml:space="preserve">PASO 2 — Análisis: Los rubros de medicamentos y equipos médicos tienen una ejecución muy por debajo de lo esperado a esta altura del año. Esto puede significar: (a) problemas en los procesos de compra/licitación, (b) subejecución presupuestaria que podría derivar en economías no planificadas al cierre del año, (c) riesgo de desabastecimiento en hospitales.</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70" w:after="70"/>
              <w:jc w:val="both"/>
            </w:pPr>
            <w:r>
              <w:rPr>
                <w:rFonts w:ascii="Arial" w:cs="Arial" w:eastAsia="Arial" w:hAnsi="Arial"/>
                <w:color w:val="0D1B2A"/>
                <w:sz w:val="21"/>
                <w:szCs w:val="21"/>
              </w:rPr>
              <w:t xml:space="preserve">CONCLUSIÓN: Este tipo de análisis contable-financiero es EXACTAMENTE lo que deberán hacer en su trabajo final.</w:t>
            </w:r>
          </w:p>
        </w:tc>
      </w:tr>
    </w:tbl>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7B241C" w:sz="4"/>
              <w:left w:val="single" w:color="7B241C" w:sz="4"/>
              <w:bottom w:val="single" w:color="7B241C" w:sz="4"/>
              <w:right w:val="single" w:color="7B241C" w:sz="4"/>
            </w:tcBorders>
            <w:shd w:fill="7B241C" w:val="clear"/>
            <w:tcMar>
              <w:top w:type="dxa" w:w="100"/>
              <w:left w:type="dxa" w:w="140"/>
              <w:bottom w:type="dxa" w:w="100"/>
              <w:right w:type="dxa" w:w="140"/>
            </w:tcMar>
            <w:vAlign w:val="top"/>
          </w:tcPr>
          <w:p>
            <w:pPr>
              <w:spacing w:before="75" w:after="75"/>
              <w:jc w:val="center"/>
            </w:pPr>
            <w:r>
              <w:rPr>
                <w:rFonts w:ascii="Arial" w:cs="Arial" w:eastAsia="Arial" w:hAnsi="Arial"/>
                <w:b/>
                <w:bCs/>
                <w:color w:val="FFFFFF"/>
                <w:sz w:val="21"/>
                <w:szCs w:val="21"/>
              </w:rPr>
              <w:t xml:space="preserve">📝  EJERCICIO 3</w:t>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Análisis presupuestario aplicado a su institución:</w:t>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Usando como referencia el Presupuesto General de la Nación disponible en www.mef.gov.py o www.hacienda.gov.py, responda:</w:t>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a) ¿Cuál es el presupuesto asignado a su institución (o a una institución pública que conozca bien) para el año en curso? Indique en guaraníes y en dólares aproximados.</w:t>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b) Identifique los dos rubros de mayor gasto. ¿Coincide con la misión institucional? ¿Por qué sí o por qué no?</w:t>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c) Si a mitad del año la institución ejecutó solo el 35% del presupuesto de inversión (bienes de capital), ¿qué tres hipótesis manejaría usted para explicarlo? ¿Cuál le parece más probable en el contexto paraguayo?</w:t>
            </w:r>
          </w:p>
        </w:tc>
      </w:tr>
      <w:tr>
        <w:tc>
          <w:tcPr>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top"/>
          </w:tcPr>
          <w:p>
            <w:pPr>
              <w:spacing w:before="55" w:after="55"/>
            </w:pPr>
            <w:r>
              <w:rPr>
                <w:rFonts w:ascii="Arial" w:cs="Arial" w:eastAsia="Arial" w:hAnsi="Arial"/>
                <w:b/>
                <w:bCs/>
                <w:color w:val="1A3A6B"/>
                <w:sz w:val="20"/>
                <w:szCs w:val="20"/>
              </w:rPr>
              <w:t xml:space="preserve">Resolución:</w:t>
            </w:r>
          </w:p>
        </w:tc>
      </w:tr>
      <w:tr>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r>
        <w:tc>
          <w:tcPr>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r>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r>
        <w:tc>
          <w:tcPr>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r>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r>
        <w:tc>
          <w:tcPr>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r>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r>
        <w:tc>
          <w:tcPr>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110" w:after="110"/>
              <w:jc w:val="center"/>
            </w:pPr>
            <w:r>
              <w:rPr>
                <w:rFonts w:ascii="Arial" w:cs="Arial" w:eastAsia="Arial" w:hAnsi="Arial"/>
                <w:b/>
                <w:bCs/>
                <w:color w:val="FFFFFF"/>
                <w:sz w:val="30"/>
                <w:szCs w:val="30"/>
              </w:rPr>
              <w:t xml:space="preserve">📖  BLOQUE 4  —  EL CICLO CONTABLE EN EL SECTOR PÚBLICO</w:t>
            </w:r>
          </w:p>
        </w:tc>
      </w:tr>
    </w:tbl>
    <w:p>
      <w:pPr>
        <w:spacing w:before="80"/>
      </w:pPr>
    </w:p>
    <w:p>
      <w:pPr>
        <w:pBdr>
          <w:bottom w:val="single" w:color="C9A227" w:sz="8" w:space="2"/>
        </w:pBdr>
        <w:spacing w:before="280" w:after="100"/>
      </w:pPr>
      <w:r>
        <w:rPr>
          <w:rFonts w:ascii="Arial" w:cs="Arial" w:eastAsia="Arial" w:hAnsi="Arial"/>
          <w:b/>
          <w:bCs/>
          <w:color w:val="1A3A6B"/>
          <w:sz w:val="26"/>
          <w:szCs w:val="26"/>
        </w:rPr>
        <w:t xml:space="preserve">4.1  Los documentos soporte — la evidencia de cada transacción</w:t>
      </w:r>
    </w:p>
    <w:p>
      <w:pPr>
        <w:spacing w:before="60" w:after="85"/>
        <w:jc w:val="both"/>
      </w:pPr>
      <w:r>
        <w:rPr>
          <w:rFonts w:ascii="Arial" w:cs="Arial" w:eastAsia="Arial" w:hAnsi="Arial"/>
          <w:color w:val="0D1B2A"/>
          <w:sz w:val="22"/>
          <w:szCs w:val="22"/>
        </w:rPr>
        <w:t xml:space="preserve">En Contabilidad Pública existe una regla de oro: sin documento soporte, no hay registro contable. Cada guaraní que entra o sale del Estado debe estar respaldado por un documento que certifique que la transacción es real, legal y correctamente autorizada. A diferencia del sector privado, en el sector público el incumplimiento de este principio puede tener consecuencias legales serias para el funcionario responsable.</w:t>
      </w:r>
    </w:p>
    <w:p>
      <w:pPr>
        <w:spacing w:before="3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26"/>
        <w:gridCol w:w="3200"/>
      </w:tblGrid>
      <w:tr>
        <w:tc>
          <w:tcPr>
            <w:tcW w:type="dxa" w:w="1800"/>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5" w:after="65"/>
              <w:jc w:val="center"/>
            </w:pPr>
            <w:r>
              <w:rPr>
                <w:rFonts w:ascii="Arial" w:cs="Arial" w:eastAsia="Arial" w:hAnsi="Arial"/>
                <w:b/>
                <w:bCs/>
                <w:color w:val="FFFFFF"/>
                <w:sz w:val="18"/>
                <w:szCs w:val="18"/>
              </w:rPr>
              <w:t xml:space="preserve">Tipo de transacción</w:t>
            </w:r>
          </w:p>
        </w:tc>
        <w:tc>
          <w:tcPr>
            <w:tcW w:type="dxa" w:w="2200"/>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5" w:after="65"/>
              <w:jc w:val="center"/>
            </w:pPr>
            <w:r>
              <w:rPr>
                <w:rFonts w:ascii="Arial" w:cs="Arial" w:eastAsia="Arial" w:hAnsi="Arial"/>
                <w:b/>
                <w:bCs/>
                <w:color w:val="FFFFFF"/>
                <w:sz w:val="18"/>
                <w:szCs w:val="18"/>
              </w:rPr>
              <w:t xml:space="preserve">Documento soporte principal</w:t>
            </w:r>
          </w:p>
        </w:tc>
        <w:tc>
          <w:tcPr>
            <w:tcW w:type="dxa" w:w="1826"/>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5" w:after="65"/>
              <w:jc w:val="center"/>
            </w:pPr>
            <w:r>
              <w:rPr>
                <w:rFonts w:ascii="Arial" w:cs="Arial" w:eastAsia="Arial" w:hAnsi="Arial"/>
                <w:b/>
                <w:bCs/>
                <w:color w:val="FFFFFF"/>
                <w:sz w:val="18"/>
                <w:szCs w:val="18"/>
              </w:rPr>
              <w:t xml:space="preserve">Quién lo autoriza</w:t>
            </w:r>
          </w:p>
        </w:tc>
        <w:tc>
          <w:tcPr>
            <w:tcW w:type="dxa" w:w="3200"/>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5" w:after="65"/>
              <w:jc w:val="center"/>
            </w:pPr>
            <w:r>
              <w:rPr>
                <w:rFonts w:ascii="Arial" w:cs="Arial" w:eastAsia="Arial" w:hAnsi="Arial"/>
                <w:b/>
                <w:bCs/>
                <w:color w:val="FFFFFF"/>
                <w:sz w:val="18"/>
                <w:szCs w:val="18"/>
              </w:rPr>
              <w:t xml:space="preserve">Observaciones</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left"/>
            </w:pPr>
            <w:r>
              <w:rPr>
                <w:rFonts w:ascii="Arial" w:cs="Arial" w:eastAsia="Arial" w:hAnsi="Arial"/>
                <w:b/>
                <w:bCs/>
                <w:color w:val="1A3A6B"/>
                <w:sz w:val="19"/>
                <w:szCs w:val="19"/>
              </w:rPr>
              <w:t xml:space="preserve">Pago de sueldos y salarios</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Planilla de liquidación de haberes / Nómina</w:t>
            </w:r>
          </w:p>
        </w:tc>
        <w:tc>
          <w:tcPr>
            <w:tcW w:type="dxa" w:w="18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Dirección de RRHH + Director Administrativo</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Debe coincidir con el SISTAFACIL/SINARH. La planilla aprobada tiene fuerza de orden de pago.</w:t>
            </w:r>
          </w:p>
        </w:tc>
      </w:tr>
      <w:tr>
        <w:tc>
          <w:tcPr>
            <w:tcW w:type="dxa" w:w="18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left"/>
            </w:pPr>
            <w:r>
              <w:rPr>
                <w:rFonts w:ascii="Arial" w:cs="Arial" w:eastAsia="Arial" w:hAnsi="Arial"/>
                <w:b/>
                <w:bCs/>
                <w:color w:val="1A3A6B"/>
                <w:sz w:val="19"/>
                <w:szCs w:val="19"/>
              </w:rPr>
              <w:t xml:space="preserve">Compra de bienes y servicios</w:t>
            </w:r>
          </w:p>
        </w:tc>
        <w:tc>
          <w:tcPr>
            <w:tcW w:type="dxa" w:w="22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Factura comercial + Orden de Compra + Remisión</w:t>
            </w:r>
          </w:p>
        </w:tc>
        <w:tc>
          <w:tcPr>
            <w:tcW w:type="dxa" w:w="1826"/>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Unidad Operativa de Contrataciones (UOC)</w:t>
            </w:r>
          </w:p>
        </w:tc>
        <w:tc>
          <w:tcPr>
            <w:tcW w:type="dxa" w:w="32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Todo el proceso debe estar en el sistema de la DNCP si supera el límite de contratación directa.</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left"/>
            </w:pPr>
            <w:r>
              <w:rPr>
                <w:rFonts w:ascii="Arial" w:cs="Arial" w:eastAsia="Arial" w:hAnsi="Arial"/>
                <w:b/>
                <w:bCs/>
                <w:color w:val="1A3A6B"/>
                <w:sz w:val="19"/>
                <w:szCs w:val="19"/>
              </w:rPr>
              <w:t xml:space="preserve">Cobro de impuestos</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Declaración jurada + recibo oficial de pago</w:t>
            </w:r>
          </w:p>
        </w:tc>
        <w:tc>
          <w:tcPr>
            <w:tcW w:type="dxa" w:w="18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Contribuyente + SET (Subsecretaría de Estado de Tributación)</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Generan el ingreso del Estado. La SET emite el comprobante electrónico desde el sistema Marangatu.</w:t>
            </w:r>
          </w:p>
        </w:tc>
      </w:tr>
      <w:tr>
        <w:tc>
          <w:tcPr>
            <w:tcW w:type="dxa" w:w="18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left"/>
            </w:pPr>
            <w:r>
              <w:rPr>
                <w:rFonts w:ascii="Arial" w:cs="Arial" w:eastAsia="Arial" w:hAnsi="Arial"/>
                <w:b/>
                <w:bCs/>
                <w:color w:val="1A3A6B"/>
                <w:sz w:val="19"/>
                <w:szCs w:val="19"/>
              </w:rPr>
              <w:t xml:space="preserve">Transferencia entre cuentas del Estado</w:t>
            </w:r>
          </w:p>
        </w:tc>
        <w:tc>
          <w:tcPr>
            <w:tcW w:type="dxa" w:w="22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Resolución ministerial + orden de transferencia</w:t>
            </w:r>
          </w:p>
        </w:tc>
        <w:tc>
          <w:tcPr>
            <w:tcW w:type="dxa" w:w="1826"/>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Ministro / Director de Finanzas + Tesorería General</w:t>
            </w:r>
          </w:p>
        </w:tc>
        <w:tc>
          <w:tcPr>
            <w:tcW w:type="dxa" w:w="32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Toda transferencia entre cuentas del Tesoro queda registrada en el SIAF con su número de operación único.</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left"/>
            </w:pPr>
            <w:r>
              <w:rPr>
                <w:rFonts w:ascii="Arial" w:cs="Arial" w:eastAsia="Arial" w:hAnsi="Arial"/>
                <w:b/>
                <w:bCs/>
                <w:color w:val="1A3A6B"/>
                <w:sz w:val="19"/>
                <w:szCs w:val="19"/>
              </w:rPr>
              <w:t xml:space="preserve">Contratación de obra pública</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Contrato + Acta de Inicio + Actas de Avance</w:t>
            </w:r>
          </w:p>
        </w:tc>
        <w:tc>
          <w:tcPr>
            <w:tcW w:type="dxa" w:w="18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Ministerio de MOPC / Gobernación / Municipio</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Cada certificado de avance de obra genera un devengamiento contable y un pago parcial.</w:t>
            </w:r>
          </w:p>
        </w:tc>
      </w:tr>
      <w:tr>
        <w:tc>
          <w:tcPr>
            <w:tcW w:type="dxa" w:w="18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left"/>
            </w:pPr>
            <w:r>
              <w:rPr>
                <w:rFonts w:ascii="Arial" w:cs="Arial" w:eastAsia="Arial" w:hAnsi="Arial"/>
                <w:b/>
                <w:bCs/>
                <w:color w:val="1A3A6B"/>
                <w:sz w:val="19"/>
                <w:szCs w:val="19"/>
              </w:rPr>
              <w:t xml:space="preserve">Pago de deuda externa</w:t>
            </w:r>
          </w:p>
        </w:tc>
        <w:tc>
          <w:tcPr>
            <w:tcW w:type="dxa" w:w="22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Calendario de amortización + Nota del acreedor</w:t>
            </w:r>
          </w:p>
        </w:tc>
        <w:tc>
          <w:tcPr>
            <w:tcW w:type="dxa" w:w="1826"/>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Ministerio de Hacienda — Crédito Público</w:t>
            </w:r>
          </w:p>
        </w:tc>
        <w:tc>
          <w:tcPr>
            <w:tcW w:type="dxa" w:w="32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El BCP transfiere las divisas. El MHCP registra la cancelación de la deuda en el SIAF.</w:t>
            </w:r>
          </w:p>
        </w:tc>
      </w:tr>
    </w:tbl>
    <w:p>
      <w:pPr>
        <w:spacing w:before="60"/>
      </w:pPr>
    </w:p>
    <w:p>
      <w:pPr>
        <w:pBdr>
          <w:bottom w:val="single" w:color="C9A227" w:sz="8" w:space="2"/>
        </w:pBdr>
        <w:spacing w:before="280" w:after="100"/>
      </w:pPr>
      <w:r>
        <w:rPr>
          <w:rFonts w:ascii="Arial" w:cs="Arial" w:eastAsia="Arial" w:hAnsi="Arial"/>
          <w:b/>
          <w:bCs/>
          <w:color w:val="1A3A6B"/>
          <w:sz w:val="26"/>
          <w:szCs w:val="26"/>
        </w:rPr>
        <w:t xml:space="preserve">4.2  El Ciclo Contable — de la transacción al Estado Financiero</w:t>
      </w:r>
    </w:p>
    <w:p>
      <w:pPr>
        <w:spacing w:before="60" w:after="85"/>
        <w:jc w:val="both"/>
      </w:pPr>
      <w:r>
        <w:rPr>
          <w:rFonts w:ascii="Arial" w:cs="Arial" w:eastAsia="Arial" w:hAnsi="Arial"/>
          <w:color w:val="0D1B2A"/>
          <w:sz w:val="22"/>
          <w:szCs w:val="22"/>
        </w:rPr>
        <w:t xml:space="preserve">El ciclo contable es el proceso ordenado de pasos que convierte cada transacción económica del Estado en información financiera consolidada. En el sector público paraguayo, este ciclo ocurre dentro del SIAF y culmina con la elaboración de la Cuenta General del Ejercicio Fiscal.</w:t>
      </w:r>
    </w:p>
    <w:p>
      <w:pPr>
        <w:spacing w:before="3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
        <w:gridCol w:w="2200"/>
        <w:gridCol w:w="4600"/>
        <w:gridCol w:w="1876"/>
      </w:tblGrid>
      <w:tr>
        <w:tc>
          <w:tcPr>
            <w:tcW w:type="dxa" w:w="350"/>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5" w:after="65"/>
              <w:jc w:val="center"/>
            </w:pPr>
            <w:r>
              <w:rPr>
                <w:rFonts w:ascii="Arial" w:cs="Arial" w:eastAsia="Arial" w:hAnsi="Arial"/>
                <w:b/>
                <w:bCs/>
                <w:color w:val="FFFFFF"/>
                <w:sz w:val="18"/>
                <w:szCs w:val="18"/>
              </w:rPr>
              <w:t xml:space="preserve">Paso</w:t>
            </w:r>
          </w:p>
        </w:tc>
        <w:tc>
          <w:tcPr>
            <w:tcW w:type="dxa" w:w="2200"/>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5" w:after="65"/>
              <w:jc w:val="center"/>
            </w:pPr>
            <w:r>
              <w:rPr>
                <w:rFonts w:ascii="Arial" w:cs="Arial" w:eastAsia="Arial" w:hAnsi="Arial"/>
                <w:b/>
                <w:bCs/>
                <w:color w:val="FFFFFF"/>
                <w:sz w:val="18"/>
                <w:szCs w:val="18"/>
              </w:rPr>
              <w:t xml:space="preserve">Etapa</w:t>
            </w:r>
          </w:p>
        </w:tc>
        <w:tc>
          <w:tcPr>
            <w:tcW w:type="dxa" w:w="4600"/>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5" w:after="65"/>
              <w:jc w:val="center"/>
            </w:pPr>
            <w:r>
              <w:rPr>
                <w:rFonts w:ascii="Arial" w:cs="Arial" w:eastAsia="Arial" w:hAnsi="Arial"/>
                <w:b/>
                <w:bCs/>
                <w:color w:val="FFFFFF"/>
                <w:sz w:val="18"/>
                <w:szCs w:val="18"/>
              </w:rPr>
              <w:t xml:space="preserve">Descripción / Ejemplo</w:t>
            </w:r>
          </w:p>
        </w:tc>
        <w:tc>
          <w:tcPr>
            <w:tcW w:type="dxa" w:w="1876"/>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5" w:after="65"/>
              <w:jc w:val="center"/>
            </w:pPr>
            <w:r>
              <w:rPr>
                <w:rFonts w:ascii="Arial" w:cs="Arial" w:eastAsia="Arial" w:hAnsi="Arial"/>
                <w:b/>
                <w:bCs/>
                <w:color w:val="FFFFFF"/>
                <w:sz w:val="18"/>
                <w:szCs w:val="18"/>
              </w:rPr>
              <w:t xml:space="preserve">Documento</w:t>
            </w:r>
          </w:p>
        </w:tc>
      </w:tr>
      <w:tr>
        <w:tc>
          <w:tcPr>
            <w:tcW w:type="dxa" w:w="350"/>
            <w:tcBorders>
              <w:top w:val="single" w:color="1A3A6B" w:sz="4"/>
              <w:left w:val="single" w:color="1A3A6B" w:sz="4"/>
              <w:bottom w:val="single" w:color="1A3A6B" w:sz="4"/>
              <w:right w:val="single" w:color="1A3A6B" w:sz="4"/>
            </w:tcBorders>
            <w:shd w:fill="EBF3FC" w:val="clear"/>
            <w:tcMar>
              <w:top w:type="dxa" w:w="100"/>
              <w:left w:type="dxa" w:w="140"/>
              <w:bottom w:type="dxa" w:w="100"/>
              <w:right w:type="dxa" w:w="140"/>
            </w:tcMar>
            <w:vAlign w:val="center"/>
          </w:tcPr>
          <w:p>
            <w:pPr>
              <w:spacing w:before="50" w:after="70"/>
              <w:jc w:val="center"/>
            </w:pPr>
            <w:r>
              <w:rPr>
                <w:rFonts w:ascii="Arial" w:cs="Arial" w:eastAsia="Arial" w:hAnsi="Arial"/>
                <w:b/>
                <w:bCs/>
                <w:color w:val="1A3A6B"/>
                <w:sz w:val="20"/>
                <w:szCs w:val="20"/>
              </w:rPr>
              <w:t xml:space="preserve">1</w:t>
            </w:r>
          </w:p>
        </w:tc>
        <w:tc>
          <w:tcPr>
            <w:tcW w:type="dxa" w:w="2200"/>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top"/>
          </w:tcPr>
          <w:p>
            <w:pPr>
              <w:spacing w:before="90" w:after="90"/>
            </w:pPr>
            <w:r>
              <w:rPr>
                <w:rFonts w:ascii="Arial" w:cs="Arial" w:eastAsia="Arial" w:hAnsi="Arial"/>
                <w:b/>
                <w:bCs/>
                <w:color w:val="1A3A6B"/>
                <w:sz w:val="18"/>
                <w:szCs w:val="18"/>
              </w:rPr>
              <w:t xml:space="preserve">Ocurrencia del hecho económico</w:t>
            </w:r>
          </w:p>
        </w:tc>
        <w:tc>
          <w:tcPr>
            <w:tcW w:type="dxa" w:w="4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color w:val="0D1B2A"/>
                <w:sz w:val="18"/>
                <w:szCs w:val="18"/>
              </w:rPr>
              <w:t xml:space="preserve">El Ministerio de Obras Públicas firma un contrato de Gs. 50.000 MM con una empresa constructora para reparar la Ruta 7.</w:t>
            </w:r>
          </w:p>
        </w:tc>
        <w:tc>
          <w:tcPr>
            <w:tcW w:type="dxa" w:w="1876"/>
            <w:tcBorders>
              <w:top w:val="single" w:color="CCCCCC" w:sz="4"/>
              <w:left w:val="single" w:color="CCCCCC" w:sz="4"/>
              <w:bottom w:val="single" w:color="CCCCCC" w:sz="4"/>
              <w:right w:val="single" w:color="CCCCCC" w:sz="4"/>
            </w:tcBorders>
            <w:shd w:fill="FFFDE7" w:val="clear"/>
            <w:tcMar>
              <w:top w:type="dxa" w:w="100"/>
              <w:left w:type="dxa" w:w="140"/>
              <w:bottom w:type="dxa" w:w="100"/>
              <w:right w:type="dxa" w:w="140"/>
            </w:tcMar>
            <w:vAlign w:val="top"/>
          </w:tcPr>
          <w:p>
            <w:pPr>
              <w:spacing w:before="90" w:after="90"/>
            </w:pPr>
            <w:r>
              <w:rPr>
                <w:rFonts w:ascii="Arial" w:cs="Arial" w:eastAsia="Arial" w:hAnsi="Arial"/>
                <w:i/>
                <w:iCs/>
                <w:color w:val="0D1B2A"/>
                <w:sz w:val="17"/>
                <w:szCs w:val="17"/>
              </w:rPr>
              <w:t xml:space="preserve">Contrato registrado en DNCP</w:t>
            </w:r>
          </w:p>
        </w:tc>
      </w:tr>
      <w:tr>
        <w:tc>
          <w:tcPr>
            <w:tcW w:type="dxa" w:w="350"/>
            <w:tcBorders>
              <w:top w:val="single" w:color="1A3A6B" w:sz="4"/>
              <w:left w:val="single" w:color="1A3A6B" w:sz="4"/>
              <w:bottom w:val="single" w:color="1A3A6B" w:sz="4"/>
              <w:right w:val="single" w:color="1A3A6B" w:sz="4"/>
            </w:tcBorders>
            <w:shd w:fill="EBF3FC" w:val="clear"/>
            <w:tcMar>
              <w:top w:type="dxa" w:w="100"/>
              <w:left w:type="dxa" w:w="140"/>
              <w:bottom w:type="dxa" w:w="100"/>
              <w:right w:type="dxa" w:w="140"/>
            </w:tcMar>
            <w:vAlign w:val="center"/>
          </w:tcPr>
          <w:p>
            <w:pPr>
              <w:spacing w:before="50" w:after="70"/>
              <w:jc w:val="center"/>
            </w:pPr>
            <w:r>
              <w:rPr>
                <w:rFonts w:ascii="Arial" w:cs="Arial" w:eastAsia="Arial" w:hAnsi="Arial"/>
                <w:b/>
                <w:bCs/>
                <w:color w:val="1A3A6B"/>
                <w:sz w:val="20"/>
                <w:szCs w:val="20"/>
              </w:rPr>
              <w:t xml:space="preserve">2</w:t>
            </w:r>
          </w:p>
        </w:tc>
        <w:tc>
          <w:tcPr>
            <w:tcW w:type="dxa" w:w="2200"/>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top"/>
          </w:tcPr>
          <w:p>
            <w:pPr>
              <w:spacing w:before="90" w:after="90"/>
            </w:pPr>
            <w:r>
              <w:rPr>
                <w:rFonts w:ascii="Arial" w:cs="Arial" w:eastAsia="Arial" w:hAnsi="Arial"/>
                <w:b/>
                <w:bCs/>
                <w:color w:val="1A3A6B"/>
                <w:sz w:val="18"/>
                <w:szCs w:val="18"/>
              </w:rPr>
              <w:t xml:space="preserve">Obtención del documento soporte</w:t>
            </w:r>
          </w:p>
        </w:tc>
        <w:tc>
          <w:tcPr>
            <w:tcW w:type="dxa" w:w="46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both"/>
            </w:pPr>
            <w:r>
              <w:rPr>
                <w:rFonts w:ascii="Arial" w:cs="Arial" w:eastAsia="Arial" w:hAnsi="Arial"/>
                <w:color w:val="0D1B2A"/>
                <w:sz w:val="18"/>
                <w:szCs w:val="18"/>
              </w:rPr>
              <w:t xml:space="preserve">Se recibe el contrato firmado, la garantía de fiel cumplimiento y el acta de inicio de obra.</w:t>
            </w:r>
          </w:p>
        </w:tc>
        <w:tc>
          <w:tcPr>
            <w:tcW w:type="dxa" w:w="1876"/>
            <w:tcBorders>
              <w:top w:val="single" w:color="CCCCCC" w:sz="4"/>
              <w:left w:val="single" w:color="CCCCCC" w:sz="4"/>
              <w:bottom w:val="single" w:color="CCCCCC" w:sz="4"/>
              <w:right w:val="single" w:color="CCCCCC" w:sz="4"/>
            </w:tcBorders>
            <w:shd w:fill="FFF9C4" w:val="clear"/>
            <w:tcMar>
              <w:top w:type="dxa" w:w="100"/>
              <w:left w:type="dxa" w:w="140"/>
              <w:bottom w:type="dxa" w:w="100"/>
              <w:right w:type="dxa" w:w="140"/>
            </w:tcMar>
            <w:vAlign w:val="top"/>
          </w:tcPr>
          <w:p>
            <w:pPr>
              <w:spacing w:before="90" w:after="90"/>
            </w:pPr>
            <w:r>
              <w:rPr>
                <w:rFonts w:ascii="Arial" w:cs="Arial" w:eastAsia="Arial" w:hAnsi="Arial"/>
                <w:i/>
                <w:iCs/>
                <w:color w:val="0D1B2A"/>
                <w:sz w:val="17"/>
                <w:szCs w:val="17"/>
              </w:rPr>
              <w:t xml:space="preserve">Contrato + Acta de Inicio</w:t>
            </w:r>
          </w:p>
        </w:tc>
      </w:tr>
      <w:tr>
        <w:tc>
          <w:tcPr>
            <w:tcW w:type="dxa" w:w="350"/>
            <w:tcBorders>
              <w:top w:val="single" w:color="1A3A6B" w:sz="4"/>
              <w:left w:val="single" w:color="1A3A6B" w:sz="4"/>
              <w:bottom w:val="single" w:color="1A3A6B" w:sz="4"/>
              <w:right w:val="single" w:color="1A3A6B" w:sz="4"/>
            </w:tcBorders>
            <w:shd w:fill="EBF3FC" w:val="clear"/>
            <w:tcMar>
              <w:top w:type="dxa" w:w="100"/>
              <w:left w:type="dxa" w:w="140"/>
              <w:bottom w:type="dxa" w:w="100"/>
              <w:right w:type="dxa" w:w="140"/>
            </w:tcMar>
            <w:vAlign w:val="center"/>
          </w:tcPr>
          <w:p>
            <w:pPr>
              <w:spacing w:before="50" w:after="70"/>
              <w:jc w:val="center"/>
            </w:pPr>
            <w:r>
              <w:rPr>
                <w:rFonts w:ascii="Arial" w:cs="Arial" w:eastAsia="Arial" w:hAnsi="Arial"/>
                <w:b/>
                <w:bCs/>
                <w:color w:val="1A3A6B"/>
                <w:sz w:val="20"/>
                <w:szCs w:val="20"/>
              </w:rPr>
              <w:t xml:space="preserve">3</w:t>
            </w:r>
          </w:p>
        </w:tc>
        <w:tc>
          <w:tcPr>
            <w:tcW w:type="dxa" w:w="2200"/>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top"/>
          </w:tcPr>
          <w:p>
            <w:pPr>
              <w:spacing w:before="90" w:after="90"/>
            </w:pPr>
            <w:r>
              <w:rPr>
                <w:rFonts w:ascii="Arial" w:cs="Arial" w:eastAsia="Arial" w:hAnsi="Arial"/>
                <w:b/>
                <w:bCs/>
                <w:color w:val="1A3A6B"/>
                <w:sz w:val="18"/>
                <w:szCs w:val="18"/>
              </w:rPr>
              <w:t xml:space="preserve">Análisis y clasificación contable</w:t>
            </w:r>
          </w:p>
        </w:tc>
        <w:tc>
          <w:tcPr>
            <w:tcW w:type="dxa" w:w="4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color w:val="0D1B2A"/>
                <w:sz w:val="18"/>
                <w:szCs w:val="18"/>
              </w:rPr>
              <w:t xml:space="preserve">El Contador Fiscal identifica: cuenta afectada = Construcciones en Proceso, etapa presupuestaria = Compromiso.</w:t>
            </w:r>
          </w:p>
        </w:tc>
        <w:tc>
          <w:tcPr>
            <w:tcW w:type="dxa" w:w="1876"/>
            <w:tcBorders>
              <w:top w:val="single" w:color="CCCCCC" w:sz="4"/>
              <w:left w:val="single" w:color="CCCCCC" w:sz="4"/>
              <w:bottom w:val="single" w:color="CCCCCC" w:sz="4"/>
              <w:right w:val="single" w:color="CCCCCC" w:sz="4"/>
            </w:tcBorders>
            <w:shd w:fill="FFFDE7" w:val="clear"/>
            <w:tcMar>
              <w:top w:type="dxa" w:w="100"/>
              <w:left w:type="dxa" w:w="140"/>
              <w:bottom w:type="dxa" w:w="100"/>
              <w:right w:type="dxa" w:w="140"/>
            </w:tcMar>
            <w:vAlign w:val="top"/>
          </w:tcPr>
          <w:p>
            <w:pPr>
              <w:spacing w:before="90" w:after="90"/>
            </w:pPr>
            <w:r>
              <w:rPr>
                <w:rFonts w:ascii="Arial" w:cs="Arial" w:eastAsia="Arial" w:hAnsi="Arial"/>
                <w:i/>
                <w:iCs/>
                <w:color w:val="0D1B2A"/>
                <w:sz w:val="17"/>
                <w:szCs w:val="17"/>
              </w:rPr>
              <w:t xml:space="preserve">Plan de Cuentas MHCP</w:t>
            </w:r>
          </w:p>
        </w:tc>
      </w:tr>
      <w:tr>
        <w:tc>
          <w:tcPr>
            <w:tcW w:type="dxa" w:w="350"/>
            <w:tcBorders>
              <w:top w:val="single" w:color="1A3A6B" w:sz="4"/>
              <w:left w:val="single" w:color="1A3A6B" w:sz="4"/>
              <w:bottom w:val="single" w:color="1A3A6B" w:sz="4"/>
              <w:right w:val="single" w:color="1A3A6B" w:sz="4"/>
            </w:tcBorders>
            <w:shd w:fill="EBF3FC" w:val="clear"/>
            <w:tcMar>
              <w:top w:type="dxa" w:w="100"/>
              <w:left w:type="dxa" w:w="140"/>
              <w:bottom w:type="dxa" w:w="100"/>
              <w:right w:type="dxa" w:w="140"/>
            </w:tcMar>
            <w:vAlign w:val="center"/>
          </w:tcPr>
          <w:p>
            <w:pPr>
              <w:spacing w:before="50" w:after="70"/>
              <w:jc w:val="center"/>
            </w:pPr>
            <w:r>
              <w:rPr>
                <w:rFonts w:ascii="Arial" w:cs="Arial" w:eastAsia="Arial" w:hAnsi="Arial"/>
                <w:b/>
                <w:bCs/>
                <w:color w:val="1A3A6B"/>
                <w:sz w:val="20"/>
                <w:szCs w:val="20"/>
              </w:rPr>
              <w:t xml:space="preserve">4</w:t>
            </w:r>
          </w:p>
        </w:tc>
        <w:tc>
          <w:tcPr>
            <w:tcW w:type="dxa" w:w="2200"/>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top"/>
          </w:tcPr>
          <w:p>
            <w:pPr>
              <w:spacing w:before="90" w:after="90"/>
            </w:pPr>
            <w:r>
              <w:rPr>
                <w:rFonts w:ascii="Arial" w:cs="Arial" w:eastAsia="Arial" w:hAnsi="Arial"/>
                <w:b/>
                <w:bCs/>
                <w:color w:val="1A3A6B"/>
                <w:sz w:val="18"/>
                <w:szCs w:val="18"/>
              </w:rPr>
              <w:t xml:space="preserve">Registro en el SIAF (compromiso)</w:t>
            </w:r>
          </w:p>
        </w:tc>
        <w:tc>
          <w:tcPr>
            <w:tcW w:type="dxa" w:w="46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both"/>
            </w:pPr>
            <w:r>
              <w:rPr>
                <w:rFonts w:ascii="Arial" w:cs="Arial" w:eastAsia="Arial" w:hAnsi="Arial"/>
                <w:color w:val="0D1B2A"/>
                <w:sz w:val="18"/>
                <w:szCs w:val="18"/>
              </w:rPr>
              <w:t xml:space="preserve">Se carga el compromiso en el módulo de ejecución presupuestaria del SIAF. Se reservan Gs. 50.000 MM del crédito presupuestario.</w:t>
            </w:r>
          </w:p>
        </w:tc>
        <w:tc>
          <w:tcPr>
            <w:tcW w:type="dxa" w:w="1876"/>
            <w:tcBorders>
              <w:top w:val="single" w:color="CCCCCC" w:sz="4"/>
              <w:left w:val="single" w:color="CCCCCC" w:sz="4"/>
              <w:bottom w:val="single" w:color="CCCCCC" w:sz="4"/>
              <w:right w:val="single" w:color="CCCCCC" w:sz="4"/>
            </w:tcBorders>
            <w:shd w:fill="FFF9C4" w:val="clear"/>
            <w:tcMar>
              <w:top w:type="dxa" w:w="100"/>
              <w:left w:type="dxa" w:w="140"/>
              <w:bottom w:type="dxa" w:w="100"/>
              <w:right w:type="dxa" w:w="140"/>
            </w:tcMar>
            <w:vAlign w:val="top"/>
          </w:tcPr>
          <w:p>
            <w:pPr>
              <w:spacing w:before="90" w:after="90"/>
            </w:pPr>
            <w:r>
              <w:rPr>
                <w:rFonts w:ascii="Arial" w:cs="Arial" w:eastAsia="Arial" w:hAnsi="Arial"/>
                <w:i/>
                <w:iCs/>
                <w:color w:val="0D1B2A"/>
                <w:sz w:val="17"/>
                <w:szCs w:val="17"/>
              </w:rPr>
              <w:t xml:space="preserve">Módulo Presupuesto — SIAF</w:t>
            </w:r>
          </w:p>
        </w:tc>
      </w:tr>
      <w:tr>
        <w:tc>
          <w:tcPr>
            <w:tcW w:type="dxa" w:w="350"/>
            <w:tcBorders>
              <w:top w:val="single" w:color="1A3A6B" w:sz="4"/>
              <w:left w:val="single" w:color="1A3A6B" w:sz="4"/>
              <w:bottom w:val="single" w:color="1A3A6B" w:sz="4"/>
              <w:right w:val="single" w:color="1A3A6B" w:sz="4"/>
            </w:tcBorders>
            <w:shd w:fill="EBF3FC" w:val="clear"/>
            <w:tcMar>
              <w:top w:type="dxa" w:w="100"/>
              <w:left w:type="dxa" w:w="140"/>
              <w:bottom w:type="dxa" w:w="100"/>
              <w:right w:type="dxa" w:w="140"/>
            </w:tcMar>
            <w:vAlign w:val="center"/>
          </w:tcPr>
          <w:p>
            <w:pPr>
              <w:spacing w:before="50" w:after="70"/>
              <w:jc w:val="center"/>
            </w:pPr>
            <w:r>
              <w:rPr>
                <w:rFonts w:ascii="Arial" w:cs="Arial" w:eastAsia="Arial" w:hAnsi="Arial"/>
                <w:b/>
                <w:bCs/>
                <w:color w:val="1A3A6B"/>
                <w:sz w:val="20"/>
                <w:szCs w:val="20"/>
              </w:rPr>
              <w:t xml:space="preserve">5</w:t>
            </w:r>
          </w:p>
        </w:tc>
        <w:tc>
          <w:tcPr>
            <w:tcW w:type="dxa" w:w="2200"/>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top"/>
          </w:tcPr>
          <w:p>
            <w:pPr>
              <w:spacing w:before="90" w:after="90"/>
            </w:pPr>
            <w:r>
              <w:rPr>
                <w:rFonts w:ascii="Arial" w:cs="Arial" w:eastAsia="Arial" w:hAnsi="Arial"/>
                <w:b/>
                <w:bCs/>
                <w:color w:val="1A3A6B"/>
                <w:sz w:val="18"/>
                <w:szCs w:val="18"/>
              </w:rPr>
              <w:t xml:space="preserve">Devengamiento (al recibir el servicio)</w:t>
            </w:r>
          </w:p>
        </w:tc>
        <w:tc>
          <w:tcPr>
            <w:tcW w:type="dxa" w:w="4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color w:val="0D1B2A"/>
                <w:sz w:val="18"/>
                <w:szCs w:val="18"/>
              </w:rPr>
              <w:t xml:space="preserve">Cuando se aprueba el 1er certificado de avance (ej. Gs. 10.000 MM), se registra el devengamiento: nace la deuda del Estado.</w:t>
            </w:r>
          </w:p>
        </w:tc>
        <w:tc>
          <w:tcPr>
            <w:tcW w:type="dxa" w:w="1876"/>
            <w:tcBorders>
              <w:top w:val="single" w:color="CCCCCC" w:sz="4"/>
              <w:left w:val="single" w:color="CCCCCC" w:sz="4"/>
              <w:bottom w:val="single" w:color="CCCCCC" w:sz="4"/>
              <w:right w:val="single" w:color="CCCCCC" w:sz="4"/>
            </w:tcBorders>
            <w:shd w:fill="FFFDE7" w:val="clear"/>
            <w:tcMar>
              <w:top w:type="dxa" w:w="100"/>
              <w:left w:type="dxa" w:w="140"/>
              <w:bottom w:type="dxa" w:w="100"/>
              <w:right w:type="dxa" w:w="140"/>
            </w:tcMar>
            <w:vAlign w:val="top"/>
          </w:tcPr>
          <w:p>
            <w:pPr>
              <w:spacing w:before="90" w:after="90"/>
            </w:pPr>
            <w:r>
              <w:rPr>
                <w:rFonts w:ascii="Arial" w:cs="Arial" w:eastAsia="Arial" w:hAnsi="Arial"/>
                <w:i/>
                <w:iCs/>
                <w:color w:val="0D1B2A"/>
                <w:sz w:val="17"/>
                <w:szCs w:val="17"/>
              </w:rPr>
              <w:t xml:space="preserve">Acta de avance + factura</w:t>
            </w:r>
          </w:p>
        </w:tc>
      </w:tr>
      <w:tr>
        <w:tc>
          <w:tcPr>
            <w:tcW w:type="dxa" w:w="350"/>
            <w:tcBorders>
              <w:top w:val="single" w:color="1A3A6B" w:sz="4"/>
              <w:left w:val="single" w:color="1A3A6B" w:sz="4"/>
              <w:bottom w:val="single" w:color="1A3A6B" w:sz="4"/>
              <w:right w:val="single" w:color="1A3A6B" w:sz="4"/>
            </w:tcBorders>
            <w:shd w:fill="EBF3FC" w:val="clear"/>
            <w:tcMar>
              <w:top w:type="dxa" w:w="100"/>
              <w:left w:type="dxa" w:w="140"/>
              <w:bottom w:type="dxa" w:w="100"/>
              <w:right w:type="dxa" w:w="140"/>
            </w:tcMar>
            <w:vAlign w:val="center"/>
          </w:tcPr>
          <w:p>
            <w:pPr>
              <w:spacing w:before="50" w:after="70"/>
              <w:jc w:val="center"/>
            </w:pPr>
            <w:r>
              <w:rPr>
                <w:rFonts w:ascii="Arial" w:cs="Arial" w:eastAsia="Arial" w:hAnsi="Arial"/>
                <w:b/>
                <w:bCs/>
                <w:color w:val="1A3A6B"/>
                <w:sz w:val="20"/>
                <w:szCs w:val="20"/>
              </w:rPr>
              <w:t xml:space="preserve">6</w:t>
            </w:r>
          </w:p>
        </w:tc>
        <w:tc>
          <w:tcPr>
            <w:tcW w:type="dxa" w:w="2200"/>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top"/>
          </w:tcPr>
          <w:p>
            <w:pPr>
              <w:spacing w:before="90" w:after="90"/>
            </w:pPr>
            <w:r>
              <w:rPr>
                <w:rFonts w:ascii="Arial" w:cs="Arial" w:eastAsia="Arial" w:hAnsi="Arial"/>
                <w:b/>
                <w:bCs/>
                <w:color w:val="1A3A6B"/>
                <w:sz w:val="18"/>
                <w:szCs w:val="18"/>
              </w:rPr>
              <w:t xml:space="preserve">Registro del pago</w:t>
            </w:r>
          </w:p>
        </w:tc>
        <w:tc>
          <w:tcPr>
            <w:tcW w:type="dxa" w:w="46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both"/>
            </w:pPr>
            <w:r>
              <w:rPr>
                <w:rFonts w:ascii="Arial" w:cs="Arial" w:eastAsia="Arial" w:hAnsi="Arial"/>
                <w:color w:val="0D1B2A"/>
                <w:sz w:val="18"/>
                <w:szCs w:val="18"/>
              </w:rPr>
              <w:t xml:space="preserve">La Tesorería General emite la orden de pago. El banco transfiere los fondos a la empresa.</w:t>
            </w:r>
          </w:p>
        </w:tc>
        <w:tc>
          <w:tcPr>
            <w:tcW w:type="dxa" w:w="1876"/>
            <w:tcBorders>
              <w:top w:val="single" w:color="CCCCCC" w:sz="4"/>
              <w:left w:val="single" w:color="CCCCCC" w:sz="4"/>
              <w:bottom w:val="single" w:color="CCCCCC" w:sz="4"/>
              <w:right w:val="single" w:color="CCCCCC" w:sz="4"/>
            </w:tcBorders>
            <w:shd w:fill="FFF9C4" w:val="clear"/>
            <w:tcMar>
              <w:top w:type="dxa" w:w="100"/>
              <w:left w:type="dxa" w:w="140"/>
              <w:bottom w:type="dxa" w:w="100"/>
              <w:right w:type="dxa" w:w="140"/>
            </w:tcMar>
            <w:vAlign w:val="top"/>
          </w:tcPr>
          <w:p>
            <w:pPr>
              <w:spacing w:before="90" w:after="90"/>
            </w:pPr>
            <w:r>
              <w:rPr>
                <w:rFonts w:ascii="Arial" w:cs="Arial" w:eastAsia="Arial" w:hAnsi="Arial"/>
                <w:i/>
                <w:iCs/>
                <w:color w:val="0D1B2A"/>
                <w:sz w:val="17"/>
                <w:szCs w:val="17"/>
              </w:rPr>
              <w:t xml:space="preserve">Orden de Pago + extracto</w:t>
            </w:r>
          </w:p>
        </w:tc>
      </w:tr>
      <w:tr>
        <w:tc>
          <w:tcPr>
            <w:tcW w:type="dxa" w:w="350"/>
            <w:tcBorders>
              <w:top w:val="single" w:color="1A3A6B" w:sz="4"/>
              <w:left w:val="single" w:color="1A3A6B" w:sz="4"/>
              <w:bottom w:val="single" w:color="1A3A6B" w:sz="4"/>
              <w:right w:val="single" w:color="1A3A6B" w:sz="4"/>
            </w:tcBorders>
            <w:shd w:fill="EBF3FC" w:val="clear"/>
            <w:tcMar>
              <w:top w:type="dxa" w:w="100"/>
              <w:left w:type="dxa" w:w="140"/>
              <w:bottom w:type="dxa" w:w="100"/>
              <w:right w:type="dxa" w:w="140"/>
            </w:tcMar>
            <w:vAlign w:val="center"/>
          </w:tcPr>
          <w:p>
            <w:pPr>
              <w:spacing w:before="50" w:after="70"/>
              <w:jc w:val="center"/>
            </w:pPr>
            <w:r>
              <w:rPr>
                <w:rFonts w:ascii="Arial" w:cs="Arial" w:eastAsia="Arial" w:hAnsi="Arial"/>
                <w:b/>
                <w:bCs/>
                <w:color w:val="1A3A6B"/>
                <w:sz w:val="20"/>
                <w:szCs w:val="20"/>
              </w:rPr>
              <w:t xml:space="preserve">7</w:t>
            </w:r>
          </w:p>
        </w:tc>
        <w:tc>
          <w:tcPr>
            <w:tcW w:type="dxa" w:w="2200"/>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top"/>
          </w:tcPr>
          <w:p>
            <w:pPr>
              <w:spacing w:before="90" w:after="90"/>
            </w:pPr>
            <w:r>
              <w:rPr>
                <w:rFonts w:ascii="Arial" w:cs="Arial" w:eastAsia="Arial" w:hAnsi="Arial"/>
                <w:b/>
                <w:bCs/>
                <w:color w:val="1A3A6B"/>
                <w:sz w:val="18"/>
                <w:szCs w:val="18"/>
              </w:rPr>
              <w:t xml:space="preserve">Cierre contable mensual</w:t>
            </w:r>
          </w:p>
        </w:tc>
        <w:tc>
          <w:tcPr>
            <w:tcW w:type="dxa" w:w="4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color w:val="0D1B2A"/>
                <w:sz w:val="18"/>
                <w:szCs w:val="18"/>
              </w:rPr>
              <w:t xml:space="preserve">Al fin de cada mes, la DGCP consolida la información de todos los organismos.</w:t>
            </w:r>
          </w:p>
        </w:tc>
        <w:tc>
          <w:tcPr>
            <w:tcW w:type="dxa" w:w="1876"/>
            <w:tcBorders>
              <w:top w:val="single" w:color="CCCCCC" w:sz="4"/>
              <w:left w:val="single" w:color="CCCCCC" w:sz="4"/>
              <w:bottom w:val="single" w:color="CCCCCC" w:sz="4"/>
              <w:right w:val="single" w:color="CCCCCC" w:sz="4"/>
            </w:tcBorders>
            <w:shd w:fill="FFFDE7" w:val="clear"/>
            <w:tcMar>
              <w:top w:type="dxa" w:w="100"/>
              <w:left w:type="dxa" w:w="140"/>
              <w:bottom w:type="dxa" w:w="100"/>
              <w:right w:type="dxa" w:w="140"/>
            </w:tcMar>
            <w:vAlign w:val="top"/>
          </w:tcPr>
          <w:p>
            <w:pPr>
              <w:spacing w:before="90" w:after="90"/>
            </w:pPr>
            <w:r>
              <w:rPr>
                <w:rFonts w:ascii="Arial" w:cs="Arial" w:eastAsia="Arial" w:hAnsi="Arial"/>
                <w:i/>
                <w:iCs/>
                <w:color w:val="0D1B2A"/>
                <w:sz w:val="17"/>
                <w:szCs w:val="17"/>
              </w:rPr>
              <w:t xml:space="preserve">Informe mensual DGCP</w:t>
            </w:r>
          </w:p>
        </w:tc>
      </w:tr>
      <w:tr>
        <w:tc>
          <w:tcPr>
            <w:tcW w:type="dxa" w:w="350"/>
            <w:tcBorders>
              <w:top w:val="single" w:color="1A3A6B" w:sz="4"/>
              <w:left w:val="single" w:color="1A3A6B" w:sz="4"/>
              <w:bottom w:val="single" w:color="1A3A6B" w:sz="4"/>
              <w:right w:val="single" w:color="1A3A6B" w:sz="4"/>
            </w:tcBorders>
            <w:shd w:fill="EBF3FC" w:val="clear"/>
            <w:tcMar>
              <w:top w:type="dxa" w:w="100"/>
              <w:left w:type="dxa" w:w="140"/>
              <w:bottom w:type="dxa" w:w="100"/>
              <w:right w:type="dxa" w:w="140"/>
            </w:tcMar>
            <w:vAlign w:val="center"/>
          </w:tcPr>
          <w:p>
            <w:pPr>
              <w:spacing w:before="50" w:after="70"/>
              <w:jc w:val="center"/>
            </w:pPr>
            <w:r>
              <w:rPr>
                <w:rFonts w:ascii="Arial" w:cs="Arial" w:eastAsia="Arial" w:hAnsi="Arial"/>
                <w:b/>
                <w:bCs/>
                <w:color w:val="1A3A6B"/>
                <w:sz w:val="20"/>
                <w:szCs w:val="20"/>
              </w:rPr>
              <w:t xml:space="preserve">8</w:t>
            </w:r>
          </w:p>
        </w:tc>
        <w:tc>
          <w:tcPr>
            <w:tcW w:type="dxa" w:w="2200"/>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top"/>
          </w:tcPr>
          <w:p>
            <w:pPr>
              <w:spacing w:before="90" w:after="90"/>
            </w:pPr>
            <w:r>
              <w:rPr>
                <w:rFonts w:ascii="Arial" w:cs="Arial" w:eastAsia="Arial" w:hAnsi="Arial"/>
                <w:b/>
                <w:bCs/>
                <w:color w:val="1A3A6B"/>
                <w:sz w:val="18"/>
                <w:szCs w:val="18"/>
              </w:rPr>
              <w:t xml:space="preserve">Elaboración de Estados Financieros</w:t>
            </w:r>
          </w:p>
        </w:tc>
        <w:tc>
          <w:tcPr>
            <w:tcW w:type="dxa" w:w="46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both"/>
            </w:pPr>
            <w:r>
              <w:rPr>
                <w:rFonts w:ascii="Arial" w:cs="Arial" w:eastAsia="Arial" w:hAnsi="Arial"/>
                <w:color w:val="0D1B2A"/>
                <w:sz w:val="18"/>
                <w:szCs w:val="18"/>
              </w:rPr>
              <w:t xml:space="preserve">Al 31 de diciembre: Estado de Situación Patrimonial, Estado de Rendimiento Financiero, Estado de Flujo de Efectivo.</w:t>
            </w:r>
          </w:p>
        </w:tc>
        <w:tc>
          <w:tcPr>
            <w:tcW w:type="dxa" w:w="1876"/>
            <w:tcBorders>
              <w:top w:val="single" w:color="CCCCCC" w:sz="4"/>
              <w:left w:val="single" w:color="CCCCCC" w:sz="4"/>
              <w:bottom w:val="single" w:color="CCCCCC" w:sz="4"/>
              <w:right w:val="single" w:color="CCCCCC" w:sz="4"/>
            </w:tcBorders>
            <w:shd w:fill="FFF9C4" w:val="clear"/>
            <w:tcMar>
              <w:top w:type="dxa" w:w="100"/>
              <w:left w:type="dxa" w:w="140"/>
              <w:bottom w:type="dxa" w:w="100"/>
              <w:right w:type="dxa" w:w="140"/>
            </w:tcMar>
            <w:vAlign w:val="top"/>
          </w:tcPr>
          <w:p>
            <w:pPr>
              <w:spacing w:before="90" w:after="90"/>
            </w:pPr>
            <w:r>
              <w:rPr>
                <w:rFonts w:ascii="Arial" w:cs="Arial" w:eastAsia="Arial" w:hAnsi="Arial"/>
                <w:i/>
                <w:iCs/>
                <w:color w:val="0D1B2A"/>
                <w:sz w:val="17"/>
                <w:szCs w:val="17"/>
              </w:rPr>
              <w:t xml:space="preserve">Cuenta General del Ejercicio</w:t>
            </w:r>
          </w:p>
        </w:tc>
      </w:tr>
      <w:tr>
        <w:tc>
          <w:tcPr>
            <w:tcW w:type="dxa" w:w="350"/>
            <w:tcBorders>
              <w:top w:val="single" w:color="1A3A6B" w:sz="4"/>
              <w:left w:val="single" w:color="1A3A6B" w:sz="4"/>
              <w:bottom w:val="single" w:color="1A3A6B" w:sz="4"/>
              <w:right w:val="single" w:color="1A3A6B" w:sz="4"/>
            </w:tcBorders>
            <w:shd w:fill="EBF3FC" w:val="clear"/>
            <w:tcMar>
              <w:top w:type="dxa" w:w="100"/>
              <w:left w:type="dxa" w:w="140"/>
              <w:bottom w:type="dxa" w:w="100"/>
              <w:right w:type="dxa" w:w="140"/>
            </w:tcMar>
            <w:vAlign w:val="center"/>
          </w:tcPr>
          <w:p>
            <w:pPr>
              <w:spacing w:before="50" w:after="70"/>
              <w:jc w:val="center"/>
            </w:pPr>
            <w:r>
              <w:rPr>
                <w:rFonts w:ascii="Arial" w:cs="Arial" w:eastAsia="Arial" w:hAnsi="Arial"/>
                <w:b/>
                <w:bCs/>
                <w:color w:val="1A3A6B"/>
                <w:sz w:val="20"/>
                <w:szCs w:val="20"/>
              </w:rPr>
              <w:t xml:space="preserve">9</w:t>
            </w:r>
          </w:p>
        </w:tc>
        <w:tc>
          <w:tcPr>
            <w:tcW w:type="dxa" w:w="2200"/>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top"/>
          </w:tcPr>
          <w:p>
            <w:pPr>
              <w:spacing w:before="90" w:after="90"/>
            </w:pPr>
            <w:r>
              <w:rPr>
                <w:rFonts w:ascii="Arial" w:cs="Arial" w:eastAsia="Arial" w:hAnsi="Arial"/>
                <w:b/>
                <w:bCs/>
                <w:color w:val="1A3A6B"/>
                <w:sz w:val="18"/>
                <w:szCs w:val="18"/>
              </w:rPr>
              <w:t xml:space="preserve">Presentación al Congreso y CGR</w:t>
            </w:r>
          </w:p>
        </w:tc>
        <w:tc>
          <w:tcPr>
            <w:tcW w:type="dxa" w:w="4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color w:val="0D1B2A"/>
                <w:sz w:val="18"/>
                <w:szCs w:val="18"/>
              </w:rPr>
              <w:t xml:space="preserve">La Cuenta General se remite al Congreso Nacional y a la Contraloría General en el plazo legal.</w:t>
            </w:r>
          </w:p>
        </w:tc>
        <w:tc>
          <w:tcPr>
            <w:tcW w:type="dxa" w:w="1876"/>
            <w:tcBorders>
              <w:top w:val="single" w:color="CCCCCC" w:sz="4"/>
              <w:left w:val="single" w:color="CCCCCC" w:sz="4"/>
              <w:bottom w:val="single" w:color="CCCCCC" w:sz="4"/>
              <w:right w:val="single" w:color="CCCCCC" w:sz="4"/>
            </w:tcBorders>
            <w:shd w:fill="FFFDE7" w:val="clear"/>
            <w:tcMar>
              <w:top w:type="dxa" w:w="100"/>
              <w:left w:type="dxa" w:w="140"/>
              <w:bottom w:type="dxa" w:w="100"/>
              <w:right w:type="dxa" w:w="140"/>
            </w:tcMar>
            <w:vAlign w:val="top"/>
          </w:tcPr>
          <w:p>
            <w:pPr>
              <w:spacing w:before="90" w:after="90"/>
            </w:pPr>
            <w:r>
              <w:rPr>
                <w:rFonts w:ascii="Arial" w:cs="Arial" w:eastAsia="Arial" w:hAnsi="Arial"/>
                <w:i/>
                <w:iCs/>
                <w:color w:val="0D1B2A"/>
                <w:sz w:val="17"/>
                <w:szCs w:val="17"/>
              </w:rPr>
              <w:t xml:space="preserve">Ley 1535/99 Art. 65</w:t>
            </w:r>
          </w:p>
        </w:tc>
      </w:tr>
    </w:tbl>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5631" w:sz="4"/>
              <w:left w:val="single" w:color="1E5631" w:sz="4"/>
              <w:bottom w:val="single" w:color="1E5631" w:sz="4"/>
              <w:right w:val="single" w:color="1E5631" w:sz="4"/>
            </w:tcBorders>
            <w:shd w:fill="1E5631" w:val="clear"/>
            <w:tcMar>
              <w:top w:type="dxa" w:w="100"/>
              <w:left w:type="dxa" w:w="140"/>
              <w:bottom w:type="dxa" w:w="100"/>
              <w:right w:type="dxa" w:w="140"/>
            </w:tcMar>
            <w:vAlign w:val="top"/>
          </w:tcPr>
          <w:p>
            <w:pPr>
              <w:spacing w:before="75" w:after="75"/>
              <w:jc w:val="center"/>
            </w:pPr>
            <w:r>
              <w:rPr>
                <w:rFonts w:ascii="Arial" w:cs="Arial" w:eastAsia="Arial" w:hAnsi="Arial"/>
                <w:b/>
                <w:bCs/>
                <w:color w:val="FFFFFF"/>
                <w:sz w:val="20"/>
                <w:szCs w:val="20"/>
              </w:rPr>
              <w:t xml:space="preserve">✅  EJERCICIO RESUELTO 3  —  Registrar el ciclo contable — Caso Municipalidad de Luque</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70" w:after="70"/>
              <w:jc w:val="both"/>
            </w:pPr>
            <w:r>
              <w:rPr>
                <w:rFonts w:ascii="Arial" w:cs="Arial" w:eastAsia="Arial" w:hAnsi="Arial"/>
                <w:color w:val="0D1B2A"/>
                <w:sz w:val="21"/>
                <w:szCs w:val="21"/>
              </w:rPr>
              <w:t xml:space="preserve">SITUACIÓN: La Municipalidad de Luque aprueba en enero la compra de 10 camiones recolectores de basura por Gs. 18.000 millones a través de licitación pública. En marzo adjudica la licitación. En agosto llegan los camiones y son recibidos conforme. En septiembre se realiza el pago total.</w:t>
            </w:r>
          </w:p>
        </w:tc>
      </w:tr>
      <w:tr>
        <w:tc>
          <w:tcPr>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spacing w:before="70" w:after="70"/>
              <w:jc w:val="both"/>
            </w:pPr>
            <w:r>
              <w:rPr>
                <w:rFonts w:ascii="Arial" w:cs="Arial" w:eastAsia="Arial" w:hAnsi="Arial"/>
                <w:color w:val="0D1B2A"/>
                <w:sz w:val="21"/>
                <w:szCs w:val="21"/>
              </w:rPr>
              <w:t xml:space="preserve">PASO 1 — COMPROMISO (Marzo — adjudicación de licitación):</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70" w:after="70"/>
              <w:jc w:val="both"/>
            </w:pPr>
            <w:r>
              <w:rPr>
                <w:rFonts w:ascii="Arial" w:cs="Arial" w:eastAsia="Arial" w:hAnsi="Arial"/>
                <w:color w:val="0D1B2A"/>
                <w:sz w:val="21"/>
                <w:szCs w:val="21"/>
              </w:rPr>
              <w:t xml:space="preserve">   Débito: Compromiso Presupuestario — Bienes de Capital  Gs. 18.000 MM</w:t>
            </w:r>
          </w:p>
        </w:tc>
      </w:tr>
      <w:tr>
        <w:tc>
          <w:tcPr>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spacing w:before="70" w:after="70"/>
              <w:jc w:val="both"/>
            </w:pPr>
            <w:r>
              <w:rPr>
                <w:rFonts w:ascii="Arial" w:cs="Arial" w:eastAsia="Arial" w:hAnsi="Arial"/>
                <w:color w:val="0D1B2A"/>
                <w:sz w:val="21"/>
                <w:szCs w:val="21"/>
              </w:rPr>
              <w:t xml:space="preserve">   Crédito: Crédito Presupuestario Comprometido           Gs. 18.000 MM</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70" w:after="70"/>
              <w:jc w:val="both"/>
            </w:pPr>
            <w:r>
              <w:rPr>
                <w:rFonts w:ascii="Arial" w:cs="Arial" w:eastAsia="Arial" w:hAnsi="Arial"/>
                <w:color w:val="0D1B2A"/>
                <w:sz w:val="21"/>
                <w:szCs w:val="21"/>
              </w:rPr>
              <w:t xml:space="preserve">   Efecto: Se reservan los fondos del presupuesto. El municipio ya no puede gastar esos Gs. 18.000 MM en otra cosa.</w:t>
            </w:r>
          </w:p>
        </w:tc>
      </w:tr>
      <w:tr>
        <w:tc>
          <w:tcPr>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spacing w:before="70" w:after="70"/>
              <w:jc w:val="both"/>
            </w:pPr>
            <w:r>
              <w:rPr>
                <w:rFonts w:ascii="Arial" w:cs="Arial" w:eastAsia="Arial" w:hAnsi="Arial"/>
                <w:color w:val="0D1B2A"/>
                <w:sz w:val="21"/>
                <w:szCs w:val="21"/>
              </w:rPr>
              <w:t xml:space="preserve">PASO 2 — DEVENGAMIENTO (Agosto — recepción de los camiones):</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70" w:after="70"/>
              <w:jc w:val="both"/>
            </w:pPr>
            <w:r>
              <w:rPr>
                <w:rFonts w:ascii="Arial" w:cs="Arial" w:eastAsia="Arial" w:hAnsi="Arial"/>
                <w:color w:val="0D1B2A"/>
                <w:sz w:val="21"/>
                <w:szCs w:val="21"/>
              </w:rPr>
              <w:t xml:space="preserve">   Débito: Vehículos y Equipos de Transporte              Gs. 18.000 MM  (activo)</w:t>
            </w:r>
          </w:p>
        </w:tc>
      </w:tr>
      <w:tr>
        <w:tc>
          <w:tcPr>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spacing w:before="70" w:after="70"/>
              <w:jc w:val="both"/>
            </w:pPr>
            <w:r>
              <w:rPr>
                <w:rFonts w:ascii="Arial" w:cs="Arial" w:eastAsia="Arial" w:hAnsi="Arial"/>
                <w:color w:val="0D1B2A"/>
                <w:sz w:val="21"/>
                <w:szCs w:val="21"/>
              </w:rPr>
              <w:t xml:space="preserve">   Crédito: Cuentas por Pagar — Proveedores               Gs. 18.000 MM  (pasivo)</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70" w:after="70"/>
              <w:jc w:val="both"/>
            </w:pPr>
            <w:r>
              <w:rPr>
                <w:rFonts w:ascii="Arial" w:cs="Arial" w:eastAsia="Arial" w:hAnsi="Arial"/>
                <w:color w:val="0D1B2A"/>
                <w:sz w:val="21"/>
                <w:szCs w:val="21"/>
              </w:rPr>
              <w:t xml:space="preserve">   Efecto: Los camiones entran al patrimonio del municipio. Nace la deuda con el proveedor.</w:t>
            </w:r>
          </w:p>
        </w:tc>
      </w:tr>
      <w:tr>
        <w:tc>
          <w:tcPr>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spacing w:before="70" w:after="70"/>
              <w:jc w:val="both"/>
            </w:pPr>
            <w:r>
              <w:rPr>
                <w:rFonts w:ascii="Arial" w:cs="Arial" w:eastAsia="Arial" w:hAnsi="Arial"/>
                <w:color w:val="0D1B2A"/>
                <w:sz w:val="21"/>
                <w:szCs w:val="21"/>
              </w:rPr>
              <w:t xml:space="preserve">PASO 3 — PAGO (Septiembre — transferencia bancaria):</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70" w:after="70"/>
              <w:jc w:val="both"/>
            </w:pPr>
            <w:r>
              <w:rPr>
                <w:rFonts w:ascii="Arial" w:cs="Arial" w:eastAsia="Arial" w:hAnsi="Arial"/>
                <w:color w:val="0D1B2A"/>
                <w:sz w:val="21"/>
                <w:szCs w:val="21"/>
              </w:rPr>
              <w:t xml:space="preserve">   Débito: Cuentas por Pagar — Proveedores                Gs. 18.000 MM  (se cancela el pasivo)</w:t>
            </w:r>
          </w:p>
        </w:tc>
      </w:tr>
      <w:tr>
        <w:tc>
          <w:tcPr>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spacing w:before="70" w:after="70"/>
              <w:jc w:val="both"/>
            </w:pPr>
            <w:r>
              <w:rPr>
                <w:rFonts w:ascii="Arial" w:cs="Arial" w:eastAsia="Arial" w:hAnsi="Arial"/>
                <w:color w:val="0D1B2A"/>
                <w:sz w:val="21"/>
                <w:szCs w:val="21"/>
              </w:rPr>
              <w:t xml:space="preserve">   Crédito: Banco — Cuenta Corriente Municipal            Gs. 18.000 MM  (sale el dinero)</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70" w:after="70"/>
              <w:jc w:val="both"/>
            </w:pPr>
            <w:r>
              <w:rPr>
                <w:rFonts w:ascii="Arial" w:cs="Arial" w:eastAsia="Arial" w:hAnsi="Arial"/>
                <w:color w:val="0D1B2A"/>
                <w:sz w:val="21"/>
                <w:szCs w:val="21"/>
              </w:rPr>
              <w:t xml:space="preserve">VERIFICACIÓN FINAL: Al 31 de diciembre, el balance del municipio mostrará en su activo los 10 camiones valorados en Gs. 18.000 millones. La deuda con el proveedor ya no existe. El presupuesto de capital se ejecutó en Gs. 18.000 MM (100%).</w:t>
            </w:r>
          </w:p>
        </w:tc>
      </w:tr>
    </w:tbl>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7B241C" w:sz="4"/>
              <w:left w:val="single" w:color="7B241C" w:sz="4"/>
              <w:bottom w:val="single" w:color="7B241C" w:sz="4"/>
              <w:right w:val="single" w:color="7B241C" w:sz="4"/>
            </w:tcBorders>
            <w:shd w:fill="7B241C" w:val="clear"/>
            <w:tcMar>
              <w:top w:type="dxa" w:w="100"/>
              <w:left w:type="dxa" w:w="140"/>
              <w:bottom w:type="dxa" w:w="100"/>
              <w:right w:type="dxa" w:w="140"/>
            </w:tcMar>
            <w:vAlign w:val="top"/>
          </w:tcPr>
          <w:p>
            <w:pPr>
              <w:spacing w:before="75" w:after="75"/>
              <w:jc w:val="center"/>
            </w:pPr>
            <w:r>
              <w:rPr>
                <w:rFonts w:ascii="Arial" w:cs="Arial" w:eastAsia="Arial" w:hAnsi="Arial"/>
                <w:b/>
                <w:bCs/>
                <w:color w:val="FFFFFF"/>
                <w:sz w:val="21"/>
                <w:szCs w:val="21"/>
              </w:rPr>
              <w:t xml:space="preserve">📝  EJERCICIO 4</w:t>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Ejercicio de ciclo contable — para resolver:</w:t>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El Ministerio de Agricultura y Ganadería (MAG) tiene asignados Gs. 6.000 millones para comprar semillas de soja para distribución a pequeños agricultores del Chaco. En febrero se llama a licitación. En mayo se adjudica por Gs. 5.200 millones a la empresa AGRO S.A. En julio se entrega el 50% de las semillas y se paga ese 50%. En octubre llega el 50% restante y se paga en noviembre.</w:t>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Registre contablemente (de forma simplificada) cada etapa del proceso:</w:t>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a) Compromiso total de la licitación (Mayo)</w:t>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b) Devengamiento del 50% al recibir la primera entrega (Julio)</w:t>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c) Pago del 50% (Julio)</w:t>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d) Devengamiento del 50% restante (Octubre)</w:t>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e) Pago final (Noviembre)</w:t>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f) Calcule la ejecución presupuestaria al 31 de diciembre: ¿qué % del crédito original se ejecutó?</w:t>
            </w:r>
          </w:p>
        </w:tc>
      </w:tr>
      <w:tr>
        <w:tc>
          <w:tcPr>
            <w:tcBorders>
              <w:top w:val="single" w:color="1A3A6B" w:sz="4"/>
              <w:left w:val="single" w:color="1A3A6B" w:sz="4"/>
              <w:bottom w:val="single" w:color="1A3A6B" w:sz="4"/>
              <w:right w:val="single" w:color="1A3A6B" w:sz="4"/>
            </w:tcBorders>
            <w:shd w:fill="D6E4F7" w:val="clear"/>
            <w:tcMar>
              <w:top w:type="dxa" w:w="100"/>
              <w:left w:type="dxa" w:w="140"/>
              <w:bottom w:type="dxa" w:w="100"/>
              <w:right w:type="dxa" w:w="140"/>
            </w:tcMar>
            <w:vAlign w:val="top"/>
          </w:tcPr>
          <w:p>
            <w:pPr>
              <w:spacing w:before="55" w:after="55"/>
            </w:pPr>
            <w:r>
              <w:rPr>
                <w:rFonts w:ascii="Arial" w:cs="Arial" w:eastAsia="Arial" w:hAnsi="Arial"/>
                <w:b/>
                <w:bCs/>
                <w:color w:val="1A3A6B"/>
                <w:sz w:val="20"/>
                <w:szCs w:val="20"/>
              </w:rPr>
              <w:t xml:space="preserve">Resolución:</w:t>
            </w:r>
          </w:p>
        </w:tc>
      </w:tr>
      <w:tr>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r>
        <w:tc>
          <w:tcPr>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r>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r>
        <w:tc>
          <w:tcPr>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r>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r>
        <w:tc>
          <w:tcPr>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r>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r>
        <w:tc>
          <w:tcPr>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r>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r>
        <w:tc>
          <w:tcPr>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110" w:after="110"/>
              <w:jc w:val="center"/>
            </w:pPr>
            <w:r>
              <w:rPr>
                <w:rFonts w:ascii="Arial" w:cs="Arial" w:eastAsia="Arial" w:hAnsi="Arial"/>
                <w:b/>
                <w:bCs/>
                <w:color w:val="FFFFFF"/>
                <w:sz w:val="30"/>
                <w:szCs w:val="30"/>
              </w:rPr>
              <w:t xml:space="preserve">📋  TAREA POST-CLASE  Y  ACTIVIDAD EN CLASSROOM</w:t>
            </w:r>
          </w:p>
        </w:tc>
      </w:tr>
    </w:tbl>
    <w:p>
      <w:pPr>
        <w:spacing w:before="80"/>
      </w:pPr>
    </w:p>
    <w:p>
      <w:pPr>
        <w:pBdr>
          <w:bottom w:val="single" w:color="C9A227" w:sz="8" w:space="2"/>
        </w:pBdr>
        <w:spacing w:before="280" w:after="100"/>
      </w:pPr>
      <w:r>
        <w:rPr>
          <w:rFonts w:ascii="Arial" w:cs="Arial" w:eastAsia="Arial" w:hAnsi="Arial"/>
          <w:b/>
          <w:bCs/>
          <w:color w:val="1A3A6B"/>
          <w:sz w:val="26"/>
          <w:szCs w:val="26"/>
        </w:rPr>
        <w:t xml:space="preserve">Tarea para entregar antes de la Clase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50" w:after="70"/>
              <w:jc w:val="center"/>
            </w:pPr>
            <w:r>
              <w:rPr>
                <w:rFonts w:ascii="Arial" w:cs="Arial" w:eastAsia="Arial" w:hAnsi="Arial"/>
                <w:b/>
                <w:bCs/>
                <w:color w:val="FFFFFF"/>
                <w:sz w:val="20"/>
                <w:szCs w:val="20"/>
              </w:rPr>
              <w:t xml:space="preserve">📌  CONSIGNA DE LA TAREA — SUBIR EN GOOGLE CLASSROOM</w:t>
            </w:r>
          </w:p>
        </w:tc>
      </w:tr>
      <w:tr>
        <w:tc>
          <w:tcPr>
            <w:tcBorders>
              <w:top w:val="single" w:color="1A3A6B" w:sz="4"/>
              <w:left w:val="single" w:color="1A3A6B" w:sz="4"/>
              <w:bottom w:val="single" w:color="1A3A6B" w:sz="4"/>
              <w:right w:val="single" w:color="1A3A6B" w:sz="4"/>
            </w:tcBorders>
            <w:shd w:fill="EBF3FC" w:val="clear"/>
            <w:tcMar>
              <w:top w:type="dxa" w:w="100"/>
              <w:left w:type="dxa" w:w="140"/>
              <w:bottom w:type="dxa" w:w="100"/>
              <w:right w:type="dxa" w:w="140"/>
            </w:tcMar>
            <w:vAlign w:val="top"/>
          </w:tcPr>
          <w:p>
            <w:pPr>
              <w:spacing w:before="60" w:after="85"/>
              <w:jc w:val="both"/>
            </w:pPr>
            <w:r>
              <w:rPr>
                <w:rFonts w:ascii="Arial" w:cs="Arial" w:eastAsia="Arial" w:hAnsi="Arial"/>
                <w:b/>
                <w:bCs/>
                <w:color w:val="1A3A6B"/>
                <w:sz w:val="21"/>
                <w:szCs w:val="21"/>
              </w:rPr>
              <w:t xml:space="preserve">Plazo: </w:t>
            </w:r>
            <w:r>
              <w:rPr>
                <w:rFonts w:ascii="Arial" w:cs="Arial" w:eastAsia="Arial" w:hAnsi="Arial"/>
                <w:color w:val="0D1B2A"/>
                <w:sz w:val="22"/>
                <w:szCs w:val="22"/>
              </w:rPr>
              <w:t xml:space="preserve">Antes del inicio de la Clase 2</w:t>
            </w:r>
          </w:p>
          <w:p>
            <w:pPr>
              <w:spacing w:before="60" w:after="85"/>
              <w:jc w:val="both"/>
            </w:pPr>
            <w:r>
              <w:rPr>
                <w:rFonts w:ascii="Arial" w:cs="Arial" w:eastAsia="Arial" w:hAnsi="Arial"/>
                <w:b/>
                <w:bCs/>
                <w:color w:val="1A3A6B"/>
                <w:sz w:val="21"/>
                <w:szCs w:val="21"/>
              </w:rPr>
              <w:t xml:space="preserve">Formato: </w:t>
            </w:r>
            <w:r>
              <w:rPr>
                <w:rFonts w:ascii="Arial" w:cs="Arial" w:eastAsia="Arial" w:hAnsi="Arial"/>
                <w:color w:val="0D1B2A"/>
                <w:sz w:val="22"/>
                <w:szCs w:val="22"/>
              </w:rPr>
              <w:t xml:space="preserve">Documento Word o PDF — máximo 2 páginas</w:t>
            </w:r>
          </w:p>
          <w:p>
            <w:pPr>
              <w:spacing w:before="60" w:after="85"/>
              <w:jc w:val="both"/>
            </w:pPr>
            <w:r>
              <w:rPr>
                <w:rFonts w:ascii="Arial" w:cs="Arial" w:eastAsia="Arial" w:hAnsi="Arial"/>
                <w:b/>
                <w:bCs/>
                <w:color w:val="1A3A6B"/>
                <w:sz w:val="21"/>
                <w:szCs w:val="21"/>
              </w:rPr>
              <w:t xml:space="preserve">Título: </w:t>
            </w:r>
            <w:r>
              <w:rPr>
                <w:rFonts w:ascii="Arial" w:cs="Arial" w:eastAsia="Arial" w:hAnsi="Arial"/>
                <w:i/>
                <w:iCs/>
                <w:color w:val="566573"/>
                <w:sz w:val="21"/>
                <w:szCs w:val="21"/>
              </w:rPr>
              <w:t xml:space="preserve">'Diagnóstico contable-financiero preliminar de mi institución'</w:t>
            </w:r>
          </w:p>
          <w:p>
            <w:pPr>
              <w:spacing w:before="30"/>
            </w:pPr>
          </w:p>
          <w:p>
            <w:pPr>
              <w:spacing w:before="60" w:after="85"/>
              <w:jc w:val="both"/>
            </w:pPr>
            <w:r>
              <w:rPr>
                <w:rFonts w:ascii="Arial" w:cs="Arial" w:eastAsia="Arial" w:hAnsi="Arial"/>
                <w:b/>
                <w:bCs/>
                <w:color w:val="1A3A6B"/>
                <w:sz w:val="21"/>
                <w:szCs w:val="21"/>
              </w:rPr>
              <w:t xml:space="preserve">Consigna: </w:t>
            </w:r>
          </w:p>
          <w:p>
            <w:pPr>
              <w:pStyle w:val="ListParagraph"/>
              <w:numPr>
                <w:ilvl w:val="0"/>
                <w:numId w:val="2"/>
              </w:numPr>
              <w:spacing w:before="45" w:after="45"/>
            </w:pPr>
            <w:r>
              <w:rPr>
                <w:rFonts w:ascii="Arial" w:cs="Arial" w:eastAsia="Arial" w:hAnsi="Arial"/>
                <w:color w:val="0D1B2A"/>
                <w:sz w:val="22"/>
                <w:szCs w:val="22"/>
              </w:rPr>
              <w:t xml:space="preserve">Identifique la institución pública en la que trabaja (o que conoce) y que será el objeto de su Trabajo Final.</w:t>
            </w:r>
          </w:p>
          <w:p>
            <w:pPr>
              <w:pStyle w:val="ListParagraph"/>
              <w:numPr>
                <w:ilvl w:val="0"/>
                <w:numId w:val="2"/>
              </w:numPr>
              <w:spacing w:before="45" w:after="45"/>
            </w:pPr>
            <w:r>
              <w:rPr>
                <w:rFonts w:ascii="Arial" w:cs="Arial" w:eastAsia="Arial" w:hAnsi="Arial"/>
                <w:color w:val="0D1B2A"/>
                <w:sz w:val="22"/>
                <w:szCs w:val="22"/>
              </w:rPr>
              <w:t xml:space="preserve">Describa en 3-5 oraciones cuál es la misión de la institución y cuál es su presupuesto aproximado.</w:t>
            </w:r>
          </w:p>
          <w:p>
            <w:pPr>
              <w:pStyle w:val="ListParagraph"/>
              <w:numPr>
                <w:ilvl w:val="0"/>
                <w:numId w:val="2"/>
              </w:numPr>
              <w:spacing w:before="45" w:after="45"/>
            </w:pPr>
            <w:r>
              <w:rPr>
                <w:rFonts w:ascii="Arial" w:cs="Arial" w:eastAsia="Arial" w:hAnsi="Arial"/>
                <w:color w:val="0D1B2A"/>
                <w:sz w:val="22"/>
                <w:szCs w:val="22"/>
              </w:rPr>
              <w:t xml:space="preserve">Responda: ¿Usa la institución el SIAF? ¿Tiene acceso a los estados financieros de la institución? Si no tiene acceso directo, ¿dónde podría encontrarlos?</w:t>
            </w:r>
          </w:p>
          <w:p>
            <w:pPr>
              <w:pStyle w:val="ListParagraph"/>
              <w:numPr>
                <w:ilvl w:val="0"/>
                <w:numId w:val="2"/>
              </w:numPr>
              <w:spacing w:before="45" w:after="45"/>
            </w:pPr>
            <w:r>
              <w:rPr>
                <w:rFonts w:ascii="Arial" w:cs="Arial" w:eastAsia="Arial" w:hAnsi="Arial"/>
                <w:color w:val="0D1B2A"/>
                <w:sz w:val="22"/>
                <w:szCs w:val="22"/>
              </w:rPr>
              <w:t xml:space="preserve">Identifique UN principio contable de los 10 vistos en clase que considere que su institución aplica bien y UNO que considera que se aplica deficientemente. Justifique con un ejemplo concreto.</w:t>
            </w:r>
          </w:p>
          <w:p>
            <w:pPr>
              <w:pStyle w:val="ListParagraph"/>
              <w:numPr>
                <w:ilvl w:val="0"/>
                <w:numId w:val="2"/>
              </w:numPr>
              <w:spacing w:before="45" w:after="45"/>
            </w:pPr>
            <w:r>
              <w:rPr>
                <w:rFonts w:ascii="Arial" w:cs="Arial" w:eastAsia="Arial" w:hAnsi="Arial"/>
                <w:color w:val="0D1B2A"/>
                <w:sz w:val="22"/>
                <w:szCs w:val="22"/>
              </w:rPr>
              <w:t xml:space="preserve">Plantee la PREGUNTA DE INVESTIGACIÓN preliminar de su Trabajo Final (puede cambiar en las próximas clases).</w:t>
            </w:r>
          </w:p>
        </w:tc>
      </w:tr>
    </w:tbl>
    <w:p>
      <w:pPr>
        <w:spacing w:before="60"/>
      </w:pPr>
    </w:p>
    <w:p>
      <w:pPr>
        <w:pBdr>
          <w:bottom w:val="single" w:color="C9A227" w:sz="8" w:space="2"/>
        </w:pBdr>
        <w:spacing w:before="280" w:after="100"/>
      </w:pPr>
      <w:r>
        <w:rPr>
          <w:rFonts w:ascii="Arial" w:cs="Arial" w:eastAsia="Arial" w:hAnsi="Arial"/>
          <w:b/>
          <w:bCs/>
          <w:color w:val="1A3A6B"/>
          <w:sz w:val="26"/>
          <w:szCs w:val="26"/>
        </w:rPr>
        <w:t xml:space="preserve">Lecturas para la próxima clase</w:t>
      </w:r>
    </w:p>
    <w:p>
      <w:pPr>
        <w:pStyle w:val="ListParagraph"/>
        <w:numPr>
          <w:ilvl w:val="0"/>
          <w:numId w:val="2"/>
        </w:numPr>
        <w:spacing w:before="45" w:after="45"/>
      </w:pPr>
      <w:r>
        <w:rPr>
          <w:rFonts w:ascii="Arial" w:cs="Arial" w:eastAsia="Arial" w:hAnsi="Arial"/>
          <w:color w:val="0D1B2A"/>
          <w:sz w:val="22"/>
          <w:szCs w:val="22"/>
        </w:rPr>
        <w:t xml:space="preserve">Ley 1535/99 — Artículos 59 al 70 (Sistema de Contabilidad)  →  www.mhcp.gov.py</w:t>
      </w:r>
    </w:p>
    <w:p>
      <w:pPr>
        <w:pStyle w:val="ListParagraph"/>
        <w:numPr>
          <w:ilvl w:val="0"/>
          <w:numId w:val="2"/>
        </w:numPr>
        <w:spacing w:before="45" w:after="45"/>
      </w:pPr>
      <w:r>
        <w:rPr>
          <w:rFonts w:ascii="Arial" w:cs="Arial" w:eastAsia="Arial" w:hAnsi="Arial"/>
          <w:color w:val="0D1B2A"/>
          <w:sz w:val="22"/>
          <w:szCs w:val="22"/>
        </w:rPr>
        <w:t xml:space="preserve">Decreto 8127/00 — Artículos 1 al 30  →  www.presidencia.gov.py/decretos</w:t>
      </w:r>
    </w:p>
    <w:p>
      <w:pPr>
        <w:pStyle w:val="ListParagraph"/>
        <w:numPr>
          <w:ilvl w:val="0"/>
          <w:numId w:val="2"/>
        </w:numPr>
        <w:spacing w:before="45" w:after="45"/>
      </w:pPr>
      <w:r>
        <w:rPr>
          <w:rFonts w:ascii="Arial" w:cs="Arial" w:eastAsia="Arial" w:hAnsi="Arial"/>
          <w:color w:val="0D1B2A"/>
          <w:sz w:val="22"/>
          <w:szCs w:val="22"/>
        </w:rPr>
        <w:t xml:space="preserve">MHCP — Plan de Cuentas del Sector Público (disponible en portal de transparencia)</w:t>
      </w:r>
    </w:p>
    <w:p>
      <w:pPr>
        <w:pStyle w:val="ListParagraph"/>
        <w:numPr>
          <w:ilvl w:val="0"/>
          <w:numId w:val="2"/>
        </w:numPr>
        <w:spacing w:before="45" w:after="45"/>
      </w:pPr>
      <w:r>
        <w:rPr>
          <w:rFonts w:ascii="Arial" w:cs="Arial" w:eastAsia="Arial" w:hAnsi="Arial"/>
          <w:color w:val="0D1B2A"/>
          <w:sz w:val="22"/>
          <w:szCs w:val="22"/>
        </w:rPr>
        <w:t xml:space="preserve">Video recomendado: 'El SIAF en Paraguay — Cómo funciona' (buscar en canal YouTube del Ministerio de Hacienda)</w:t>
      </w:r>
    </w:p>
    <w:p>
      <w:pPr>
        <w:spacing w:before="80"/>
      </w:pPr>
    </w:p>
    <w:p>
      <w:pPr>
        <w:pBdr>
          <w:bottom w:val="single" w:color="C9A227" w:sz="8" w:space="2"/>
        </w:pBdr>
        <w:spacing w:before="280" w:after="100"/>
      </w:pPr>
      <w:r>
        <w:rPr>
          <w:rFonts w:ascii="Arial" w:cs="Arial" w:eastAsia="Arial" w:hAnsi="Arial"/>
          <w:b/>
          <w:bCs/>
          <w:color w:val="1A3A6B"/>
          <w:sz w:val="26"/>
          <w:szCs w:val="26"/>
        </w:rPr>
        <w:t xml:space="preserve">Autoevaluación de la Clase 1</w:t>
      </w:r>
    </w:p>
    <w:p>
      <w:pPr>
        <w:spacing w:before="60" w:after="85"/>
        <w:jc w:val="both"/>
      </w:pPr>
      <w:r>
        <w:rPr>
          <w:rFonts w:ascii="Arial" w:cs="Arial" w:eastAsia="Arial" w:hAnsi="Arial"/>
          <w:color w:val="0D1B2A"/>
          <w:sz w:val="22"/>
          <w:szCs w:val="22"/>
        </w:rPr>
        <w:t xml:space="preserve">Antes de cerrar, responda honestamente estas 5 preguntas de autoevaluación: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6200"/>
        <w:gridCol w:w="800"/>
        <w:gridCol w:w="800"/>
        <w:gridCol w:w="830"/>
      </w:tblGrid>
      <w:tr>
        <w:tc>
          <w:tcPr>
            <w:tcW w:type="dxa" w:w="400"/>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0" w:after="60"/>
              <w:jc w:val="center"/>
            </w:pPr>
            <w:r>
              <w:rPr>
                <w:rFonts w:ascii="Arial" w:cs="Arial" w:eastAsia="Arial" w:hAnsi="Arial"/>
                <w:b/>
                <w:bCs/>
                <w:color w:val="FFFFFF"/>
                <w:sz w:val="18"/>
                <w:szCs w:val="18"/>
              </w:rPr>
              <w:t xml:space="preserve">N°</w:t>
            </w:r>
          </w:p>
        </w:tc>
        <w:tc>
          <w:tcPr>
            <w:tcW w:type="dxa" w:w="6200"/>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0" w:after="60"/>
              <w:jc w:val="center"/>
            </w:pPr>
            <w:r>
              <w:rPr>
                <w:rFonts w:ascii="Arial" w:cs="Arial" w:eastAsia="Arial" w:hAnsi="Arial"/>
                <w:b/>
                <w:bCs/>
                <w:color w:val="FFFFFF"/>
                <w:sz w:val="18"/>
                <w:szCs w:val="18"/>
              </w:rPr>
              <w:t xml:space="preserve">Pregunta de autoevaluación</w:t>
            </w:r>
          </w:p>
        </w:tc>
        <w:tc>
          <w:tcPr>
            <w:tcW w:type="dxa" w:w="800"/>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0" w:after="60"/>
              <w:jc w:val="center"/>
            </w:pPr>
            <w:r>
              <w:rPr>
                <w:rFonts w:ascii="Arial" w:cs="Arial" w:eastAsia="Arial" w:hAnsi="Arial"/>
                <w:b/>
                <w:bCs/>
                <w:color w:val="FFFFFF"/>
                <w:sz w:val="18"/>
                <w:szCs w:val="18"/>
              </w:rPr>
              <w:t xml:space="preserve">Sí</w:t>
            </w:r>
          </w:p>
        </w:tc>
        <w:tc>
          <w:tcPr>
            <w:tcW w:type="dxa" w:w="800"/>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0" w:after="60"/>
              <w:jc w:val="center"/>
            </w:pPr>
            <w:r>
              <w:rPr>
                <w:rFonts w:ascii="Arial" w:cs="Arial" w:eastAsia="Arial" w:hAnsi="Arial"/>
                <w:b/>
                <w:bCs/>
                <w:color w:val="FFFFFF"/>
                <w:sz w:val="18"/>
                <w:szCs w:val="18"/>
              </w:rPr>
              <w:t xml:space="preserve">Parcial</w:t>
            </w:r>
          </w:p>
        </w:tc>
        <w:tc>
          <w:tcPr>
            <w:tcW w:type="dxa" w:w="830"/>
            <w:tcBorders>
              <w:top w:val="single" w:color="1A3A6B" w:sz="4"/>
              <w:left w:val="single" w:color="1A3A6B" w:sz="4"/>
              <w:bottom w:val="single" w:color="1A3A6B" w:sz="4"/>
              <w:right w:val="single" w:color="1A3A6B" w:sz="4"/>
            </w:tcBorders>
            <w:shd w:fill="1A3A6B" w:val="clear"/>
            <w:tcMar>
              <w:top w:type="dxa" w:w="100"/>
              <w:left w:type="dxa" w:w="140"/>
              <w:bottom w:type="dxa" w:w="100"/>
              <w:right w:type="dxa" w:w="140"/>
            </w:tcMar>
            <w:vAlign w:val="top"/>
          </w:tcPr>
          <w:p>
            <w:pPr>
              <w:spacing w:before="60" w:after="60"/>
              <w:jc w:val="center"/>
            </w:pPr>
            <w:r>
              <w:rPr>
                <w:rFonts w:ascii="Arial" w:cs="Arial" w:eastAsia="Arial" w:hAnsi="Arial"/>
                <w:b/>
                <w:bCs/>
                <w:color w:val="FFFFFF"/>
                <w:sz w:val="18"/>
                <w:szCs w:val="18"/>
              </w:rPr>
              <w:t xml:space="preserve">No</w:t>
            </w:r>
          </w:p>
        </w:tc>
      </w:tr>
      <w:tr>
        <w:tc>
          <w:tcPr>
            <w:tcW w:type="dxa" w:w="400"/>
            <w:tcBorders>
              <w:top w:val="single" w:color="1A3A6B" w:sz="4"/>
              <w:left w:val="single" w:color="1A3A6B" w:sz="4"/>
              <w:bottom w:val="single" w:color="1A3A6B" w:sz="4"/>
              <w:right w:val="single" w:color="1A3A6B" w:sz="4"/>
            </w:tcBorders>
            <w:shd w:fill="EBF3FC" w:val="clear"/>
            <w:tcMar>
              <w:top w:type="dxa" w:w="100"/>
              <w:left w:type="dxa" w:w="140"/>
              <w:bottom w:type="dxa" w:w="100"/>
              <w:right w:type="dxa" w:w="140"/>
            </w:tcMar>
            <w:vAlign w:val="center"/>
          </w:tcPr>
          <w:p>
            <w:pPr>
              <w:spacing w:before="50" w:after="70"/>
              <w:jc w:val="center"/>
            </w:pPr>
            <w:r>
              <w:rPr>
                <w:rFonts w:ascii="Arial" w:cs="Arial" w:eastAsia="Arial" w:hAnsi="Arial"/>
                <w:b/>
                <w:bCs/>
                <w:color w:val="1A3A6B"/>
                <w:sz w:val="20"/>
                <w:szCs w:val="20"/>
              </w:rPr>
              <w:t xml:space="preserve">1</w:t>
            </w:r>
          </w:p>
        </w:tc>
        <w:tc>
          <w:tcPr>
            <w:tcW w:type="dxa" w:w="6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pPr>
            <w:r>
              <w:rPr>
                <w:rFonts w:ascii="Arial" w:cs="Arial" w:eastAsia="Arial" w:hAnsi="Arial"/>
                <w:color w:val="0D1B2A"/>
                <w:sz w:val="19"/>
                <w:szCs w:val="19"/>
              </w:rPr>
              <w:t xml:space="preserve">¿Puedo explicar con mis palabras la diferencia entre contabilidad pública y privada?</w:t>
            </w:r>
          </w:p>
        </w:tc>
        <w:tc>
          <w:tcPr>
            <w:tcW w:type="dxa" w:w="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50" w:after="70"/>
              <w:jc w:val="center"/>
            </w:pPr>
            <w:r>
              <w:rPr>
                <w:rFonts w:ascii="Arial" w:cs="Arial" w:eastAsia="Arial" w:hAnsi="Arial"/>
                <w:i/>
                <w:iCs/>
                <w:color w:val="566573"/>
                <w:sz w:val="22"/>
                <w:szCs w:val="22"/>
              </w:rPr>
              <w:t xml:space="preserve">☐</w:t>
            </w:r>
          </w:p>
        </w:tc>
        <w:tc>
          <w:tcPr>
            <w:tcW w:type="dxa" w:w="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50" w:after="70"/>
              <w:jc w:val="center"/>
            </w:pPr>
            <w:r>
              <w:rPr>
                <w:rFonts w:ascii="Arial" w:cs="Arial" w:eastAsia="Arial" w:hAnsi="Arial"/>
                <w:i/>
                <w:iCs/>
                <w:color w:val="566573"/>
                <w:sz w:val="22"/>
                <w:szCs w:val="22"/>
              </w:rPr>
              <w:t xml:space="preserve">☐</w:t>
            </w:r>
          </w:p>
        </w:tc>
        <w:tc>
          <w:tcPr>
            <w:tcW w:type="dxa" w:w="83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50" w:after="70"/>
              <w:jc w:val="center"/>
            </w:pPr>
            <w:r>
              <w:rPr>
                <w:rFonts w:ascii="Arial" w:cs="Arial" w:eastAsia="Arial" w:hAnsi="Arial"/>
                <w:i/>
                <w:iCs/>
                <w:color w:val="566573"/>
                <w:sz w:val="22"/>
                <w:szCs w:val="22"/>
              </w:rPr>
              <w:t xml:space="preserve">☐</w:t>
            </w:r>
          </w:p>
        </w:tc>
      </w:tr>
      <w:tr>
        <w:tc>
          <w:tcPr>
            <w:tcW w:type="dxa" w:w="400"/>
            <w:tcBorders>
              <w:top w:val="single" w:color="1A3A6B" w:sz="4"/>
              <w:left w:val="single" w:color="1A3A6B" w:sz="4"/>
              <w:bottom w:val="single" w:color="1A3A6B" w:sz="4"/>
              <w:right w:val="single" w:color="1A3A6B" w:sz="4"/>
            </w:tcBorders>
            <w:shd w:fill="EBF3FC" w:val="clear"/>
            <w:tcMar>
              <w:top w:type="dxa" w:w="100"/>
              <w:left w:type="dxa" w:w="140"/>
              <w:bottom w:type="dxa" w:w="100"/>
              <w:right w:type="dxa" w:w="140"/>
            </w:tcMar>
            <w:vAlign w:val="center"/>
          </w:tcPr>
          <w:p>
            <w:pPr>
              <w:spacing w:before="50" w:after="70"/>
              <w:jc w:val="center"/>
            </w:pPr>
            <w:r>
              <w:rPr>
                <w:rFonts w:ascii="Arial" w:cs="Arial" w:eastAsia="Arial" w:hAnsi="Arial"/>
                <w:b/>
                <w:bCs/>
                <w:color w:val="1A3A6B"/>
                <w:sz w:val="20"/>
                <w:szCs w:val="20"/>
              </w:rPr>
              <w:t xml:space="preserve">2</w:t>
            </w:r>
          </w:p>
        </w:tc>
        <w:tc>
          <w:tcPr>
            <w:tcW w:type="dxa" w:w="62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pPr>
            <w:r>
              <w:rPr>
                <w:rFonts w:ascii="Arial" w:cs="Arial" w:eastAsia="Arial" w:hAnsi="Arial"/>
                <w:color w:val="0D1B2A"/>
                <w:sz w:val="19"/>
                <w:szCs w:val="19"/>
              </w:rPr>
              <w:t xml:space="preserve">¿Identifico correctamente los 10 principios contables y puedo dar un ejemplo de cada uno?</w:t>
            </w:r>
          </w:p>
        </w:tc>
        <w:tc>
          <w:tcPr>
            <w:tcW w:type="dxa" w:w="8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50" w:after="70"/>
              <w:jc w:val="center"/>
            </w:pPr>
            <w:r>
              <w:rPr>
                <w:rFonts w:ascii="Arial" w:cs="Arial" w:eastAsia="Arial" w:hAnsi="Arial"/>
                <w:i/>
                <w:iCs/>
                <w:color w:val="566573"/>
                <w:sz w:val="22"/>
                <w:szCs w:val="22"/>
              </w:rPr>
              <w:t xml:space="preserve">☐</w:t>
            </w:r>
          </w:p>
        </w:tc>
        <w:tc>
          <w:tcPr>
            <w:tcW w:type="dxa" w:w="8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50" w:after="70"/>
              <w:jc w:val="center"/>
            </w:pPr>
            <w:r>
              <w:rPr>
                <w:rFonts w:ascii="Arial" w:cs="Arial" w:eastAsia="Arial" w:hAnsi="Arial"/>
                <w:i/>
                <w:iCs/>
                <w:color w:val="566573"/>
                <w:sz w:val="22"/>
                <w:szCs w:val="22"/>
              </w:rPr>
              <w:t xml:space="preserve">☐</w:t>
            </w:r>
          </w:p>
        </w:tc>
        <w:tc>
          <w:tcPr>
            <w:tcW w:type="dxa" w:w="83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50" w:after="70"/>
              <w:jc w:val="center"/>
            </w:pPr>
            <w:r>
              <w:rPr>
                <w:rFonts w:ascii="Arial" w:cs="Arial" w:eastAsia="Arial" w:hAnsi="Arial"/>
                <w:i/>
                <w:iCs/>
                <w:color w:val="566573"/>
                <w:sz w:val="22"/>
                <w:szCs w:val="22"/>
              </w:rPr>
              <w:t xml:space="preserve">☐</w:t>
            </w:r>
          </w:p>
        </w:tc>
      </w:tr>
      <w:tr>
        <w:tc>
          <w:tcPr>
            <w:tcW w:type="dxa" w:w="400"/>
            <w:tcBorders>
              <w:top w:val="single" w:color="1A3A6B" w:sz="4"/>
              <w:left w:val="single" w:color="1A3A6B" w:sz="4"/>
              <w:bottom w:val="single" w:color="1A3A6B" w:sz="4"/>
              <w:right w:val="single" w:color="1A3A6B" w:sz="4"/>
            </w:tcBorders>
            <w:shd w:fill="EBF3FC" w:val="clear"/>
            <w:tcMar>
              <w:top w:type="dxa" w:w="100"/>
              <w:left w:type="dxa" w:w="140"/>
              <w:bottom w:type="dxa" w:w="100"/>
              <w:right w:type="dxa" w:w="140"/>
            </w:tcMar>
            <w:vAlign w:val="center"/>
          </w:tcPr>
          <w:p>
            <w:pPr>
              <w:spacing w:before="50" w:after="70"/>
              <w:jc w:val="center"/>
            </w:pPr>
            <w:r>
              <w:rPr>
                <w:rFonts w:ascii="Arial" w:cs="Arial" w:eastAsia="Arial" w:hAnsi="Arial"/>
                <w:b/>
                <w:bCs/>
                <w:color w:val="1A3A6B"/>
                <w:sz w:val="20"/>
                <w:szCs w:val="20"/>
              </w:rPr>
              <w:t xml:space="preserve">3</w:t>
            </w:r>
          </w:p>
        </w:tc>
        <w:tc>
          <w:tcPr>
            <w:tcW w:type="dxa" w:w="6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pPr>
            <w:r>
              <w:rPr>
                <w:rFonts w:ascii="Arial" w:cs="Arial" w:eastAsia="Arial" w:hAnsi="Arial"/>
                <w:color w:val="0D1B2A"/>
                <w:sz w:val="19"/>
                <w:szCs w:val="19"/>
              </w:rPr>
              <w:t xml:space="preserve">¿Comprendo la diferencia entre el compromiso, el devengamiento y el pago en el sector público?</w:t>
            </w:r>
          </w:p>
        </w:tc>
        <w:tc>
          <w:tcPr>
            <w:tcW w:type="dxa" w:w="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50" w:after="70"/>
              <w:jc w:val="center"/>
            </w:pPr>
            <w:r>
              <w:rPr>
                <w:rFonts w:ascii="Arial" w:cs="Arial" w:eastAsia="Arial" w:hAnsi="Arial"/>
                <w:i/>
                <w:iCs/>
                <w:color w:val="566573"/>
                <w:sz w:val="22"/>
                <w:szCs w:val="22"/>
              </w:rPr>
              <w:t xml:space="preserve">☐</w:t>
            </w:r>
          </w:p>
        </w:tc>
        <w:tc>
          <w:tcPr>
            <w:tcW w:type="dxa" w:w="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50" w:after="70"/>
              <w:jc w:val="center"/>
            </w:pPr>
            <w:r>
              <w:rPr>
                <w:rFonts w:ascii="Arial" w:cs="Arial" w:eastAsia="Arial" w:hAnsi="Arial"/>
                <w:i/>
                <w:iCs/>
                <w:color w:val="566573"/>
                <w:sz w:val="22"/>
                <w:szCs w:val="22"/>
              </w:rPr>
              <w:t xml:space="preserve">☐</w:t>
            </w:r>
          </w:p>
        </w:tc>
        <w:tc>
          <w:tcPr>
            <w:tcW w:type="dxa" w:w="83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50" w:after="70"/>
              <w:jc w:val="center"/>
            </w:pPr>
            <w:r>
              <w:rPr>
                <w:rFonts w:ascii="Arial" w:cs="Arial" w:eastAsia="Arial" w:hAnsi="Arial"/>
                <w:i/>
                <w:iCs/>
                <w:color w:val="566573"/>
                <w:sz w:val="22"/>
                <w:szCs w:val="22"/>
              </w:rPr>
              <w:t xml:space="preserve">☐</w:t>
            </w:r>
          </w:p>
        </w:tc>
      </w:tr>
      <w:tr>
        <w:tc>
          <w:tcPr>
            <w:tcW w:type="dxa" w:w="400"/>
            <w:tcBorders>
              <w:top w:val="single" w:color="1A3A6B" w:sz="4"/>
              <w:left w:val="single" w:color="1A3A6B" w:sz="4"/>
              <w:bottom w:val="single" w:color="1A3A6B" w:sz="4"/>
              <w:right w:val="single" w:color="1A3A6B" w:sz="4"/>
            </w:tcBorders>
            <w:shd w:fill="EBF3FC" w:val="clear"/>
            <w:tcMar>
              <w:top w:type="dxa" w:w="100"/>
              <w:left w:type="dxa" w:w="140"/>
              <w:bottom w:type="dxa" w:w="100"/>
              <w:right w:type="dxa" w:w="140"/>
            </w:tcMar>
            <w:vAlign w:val="center"/>
          </w:tcPr>
          <w:p>
            <w:pPr>
              <w:spacing w:before="50" w:after="70"/>
              <w:jc w:val="center"/>
            </w:pPr>
            <w:r>
              <w:rPr>
                <w:rFonts w:ascii="Arial" w:cs="Arial" w:eastAsia="Arial" w:hAnsi="Arial"/>
                <w:b/>
                <w:bCs/>
                <w:color w:val="1A3A6B"/>
                <w:sz w:val="20"/>
                <w:szCs w:val="20"/>
              </w:rPr>
              <w:t xml:space="preserve">4</w:t>
            </w:r>
          </w:p>
        </w:tc>
        <w:tc>
          <w:tcPr>
            <w:tcW w:type="dxa" w:w="62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pPr>
            <w:r>
              <w:rPr>
                <w:rFonts w:ascii="Arial" w:cs="Arial" w:eastAsia="Arial" w:hAnsi="Arial"/>
                <w:color w:val="0D1B2A"/>
                <w:sz w:val="19"/>
                <w:szCs w:val="19"/>
              </w:rPr>
              <w:t xml:space="preserve">¿Puedo relacionar las funciones del Estado (asignativa, distributiva, estabilizadora) con la contabilidad pública?</w:t>
            </w:r>
          </w:p>
        </w:tc>
        <w:tc>
          <w:tcPr>
            <w:tcW w:type="dxa" w:w="8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50" w:after="70"/>
              <w:jc w:val="center"/>
            </w:pPr>
            <w:r>
              <w:rPr>
                <w:rFonts w:ascii="Arial" w:cs="Arial" w:eastAsia="Arial" w:hAnsi="Arial"/>
                <w:i/>
                <w:iCs/>
                <w:color w:val="566573"/>
                <w:sz w:val="22"/>
                <w:szCs w:val="22"/>
              </w:rPr>
              <w:t xml:space="preserve">☐</w:t>
            </w:r>
          </w:p>
        </w:tc>
        <w:tc>
          <w:tcPr>
            <w:tcW w:type="dxa" w:w="8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50" w:after="70"/>
              <w:jc w:val="center"/>
            </w:pPr>
            <w:r>
              <w:rPr>
                <w:rFonts w:ascii="Arial" w:cs="Arial" w:eastAsia="Arial" w:hAnsi="Arial"/>
                <w:i/>
                <w:iCs/>
                <w:color w:val="566573"/>
                <w:sz w:val="22"/>
                <w:szCs w:val="22"/>
              </w:rPr>
              <w:t xml:space="preserve">☐</w:t>
            </w:r>
          </w:p>
        </w:tc>
        <w:tc>
          <w:tcPr>
            <w:tcW w:type="dxa" w:w="83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50" w:after="70"/>
              <w:jc w:val="center"/>
            </w:pPr>
            <w:r>
              <w:rPr>
                <w:rFonts w:ascii="Arial" w:cs="Arial" w:eastAsia="Arial" w:hAnsi="Arial"/>
                <w:i/>
                <w:iCs/>
                <w:color w:val="566573"/>
                <w:sz w:val="22"/>
                <w:szCs w:val="22"/>
              </w:rPr>
              <w:t xml:space="preserve">☐</w:t>
            </w:r>
          </w:p>
        </w:tc>
      </w:tr>
      <w:tr>
        <w:tc>
          <w:tcPr>
            <w:tcW w:type="dxa" w:w="400"/>
            <w:tcBorders>
              <w:top w:val="single" w:color="1A3A6B" w:sz="4"/>
              <w:left w:val="single" w:color="1A3A6B" w:sz="4"/>
              <w:bottom w:val="single" w:color="1A3A6B" w:sz="4"/>
              <w:right w:val="single" w:color="1A3A6B" w:sz="4"/>
            </w:tcBorders>
            <w:shd w:fill="EBF3FC" w:val="clear"/>
            <w:tcMar>
              <w:top w:type="dxa" w:w="100"/>
              <w:left w:type="dxa" w:w="140"/>
              <w:bottom w:type="dxa" w:w="100"/>
              <w:right w:type="dxa" w:w="140"/>
            </w:tcMar>
            <w:vAlign w:val="center"/>
          </w:tcPr>
          <w:p>
            <w:pPr>
              <w:spacing w:before="50" w:after="70"/>
              <w:jc w:val="center"/>
            </w:pPr>
            <w:r>
              <w:rPr>
                <w:rFonts w:ascii="Arial" w:cs="Arial" w:eastAsia="Arial" w:hAnsi="Arial"/>
                <w:b/>
                <w:bCs/>
                <w:color w:val="1A3A6B"/>
                <w:sz w:val="20"/>
                <w:szCs w:val="20"/>
              </w:rPr>
              <w:t xml:space="preserve">5</w:t>
            </w:r>
          </w:p>
        </w:tc>
        <w:tc>
          <w:tcPr>
            <w:tcW w:type="dxa" w:w="6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pPr>
            <w:r>
              <w:rPr>
                <w:rFonts w:ascii="Arial" w:cs="Arial" w:eastAsia="Arial" w:hAnsi="Arial"/>
                <w:color w:val="0D1B2A"/>
                <w:sz w:val="19"/>
                <w:szCs w:val="19"/>
              </w:rPr>
              <w:t xml:space="preserve">¿Tengo clara la institución que analizaré en mi Trabajo Final de Investigación?</w:t>
            </w:r>
          </w:p>
        </w:tc>
        <w:tc>
          <w:tcPr>
            <w:tcW w:type="dxa" w:w="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50" w:after="70"/>
              <w:jc w:val="center"/>
            </w:pPr>
            <w:r>
              <w:rPr>
                <w:rFonts w:ascii="Arial" w:cs="Arial" w:eastAsia="Arial" w:hAnsi="Arial"/>
                <w:i/>
                <w:iCs/>
                <w:color w:val="566573"/>
                <w:sz w:val="22"/>
                <w:szCs w:val="22"/>
              </w:rPr>
              <w:t xml:space="preserve">☐</w:t>
            </w:r>
          </w:p>
        </w:tc>
        <w:tc>
          <w:tcPr>
            <w:tcW w:type="dxa" w:w="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50" w:after="70"/>
              <w:jc w:val="center"/>
            </w:pPr>
            <w:r>
              <w:rPr>
                <w:rFonts w:ascii="Arial" w:cs="Arial" w:eastAsia="Arial" w:hAnsi="Arial"/>
                <w:i/>
                <w:iCs/>
                <w:color w:val="566573"/>
                <w:sz w:val="22"/>
                <w:szCs w:val="22"/>
              </w:rPr>
              <w:t xml:space="preserve">☐</w:t>
            </w:r>
          </w:p>
        </w:tc>
        <w:tc>
          <w:tcPr>
            <w:tcW w:type="dxa" w:w="83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50" w:after="70"/>
              <w:jc w:val="center"/>
            </w:pPr>
            <w:r>
              <w:rPr>
                <w:rFonts w:ascii="Arial" w:cs="Arial" w:eastAsia="Arial" w:hAnsi="Arial"/>
                <w:i/>
                <w:iCs/>
                <w:color w:val="566573"/>
                <w:sz w:val="22"/>
                <w:szCs w:val="22"/>
              </w:rPr>
              <w:t xml:space="preserve">☐</w:t>
            </w:r>
          </w:p>
        </w:tc>
      </w:tr>
    </w:tbl>
    <w:p>
      <w:pPr>
        <w:spacing w:before="200"/>
      </w:pPr>
    </w:p>
    <w:p>
      <w:pPr>
        <w:jc w:val="center"/>
      </w:pPr>
      <w:r>
        <w:rPr>
          <w:rFonts w:ascii="Arial" w:cs="Arial" w:eastAsia="Arial" w:hAnsi="Arial"/>
          <w:i/>
          <w:iCs/>
          <w:color w:val="566573"/>
          <w:sz w:val="18"/>
          <w:szCs w:val="18"/>
        </w:rPr>
        <w:t xml:space="preserve">Instituto Superior Centuria  ·  Maestría en Administración y Gestión Pública  ·  M-AGP04  ·  Clase 1</w:t>
      </w:r>
    </w:p>
    <w:sectPr>
      <w:headerReference w:type="default" r:id="rId6"/>
      <w:footerReference w:type="default" r:id="rId7"/>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60"/>
      <w:jc w:val="right"/>
    </w:pPr>
    <w:r>
      <w:rPr>
        <w:rFonts w:ascii="Arial" w:cs="Arial" w:eastAsia="Arial" w:hAnsi="Arial"/>
        <w:color w:val="0D1B2A"/>
        <w:sz w:val="16"/>
        <w:szCs w:val="16"/>
      </w:rPr>
      <w:t xml:space="preserve">Maestría en Administración y Gestión Pública  |  Pág.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color w:val="0D1B2A"/>
        <w:sz w:val="16"/>
        <w:szCs w:val="16"/>
      </w:rPr>
      <w:t xml:space="preserve"> de </w:t>
    </w:r>
    <w:r>
      <w:rPr>
        <w:rFonts w:ascii="Arial" w:cs="Arial" w:eastAsia="Arial" w:hAnsi="Arial"/>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6" w:space="1"/>
      </w:pBdr>
      <w:spacing w:after="70"/>
    </w:pPr>
    <w:r>
      <w:rPr>
        <w:rFonts w:ascii="Arial" w:cs="Arial" w:eastAsia="Arial" w:hAnsi="Arial"/>
        <w:b/>
        <w:bCs/>
        <w:color w:val="C9A227"/>
        <w:sz w:val="16"/>
        <w:szCs w:val="16"/>
      </w:rPr>
      <w:t xml:space="preserve">M-AGP04  |  Introducción a la Contabilidad Pública  |  CLASE 1 — Fundamentos</w:t>
    </w:r>
    <w:r>
      <w:rPr>
        <w:rFonts w:ascii="Arial" w:cs="Arial" w:eastAsia="Arial" w:hAnsi="Arial"/>
        <w:color w:val="0D1B2A"/>
        <w:sz w:val="16"/>
        <w:szCs w:val="16"/>
      </w:rPr>
      <w:t xml:space="preserve">                                        </w:t>
    </w:r>
    <w:r>
      <w:rPr>
        <w:rFonts w:ascii="Arial" w:cs="Arial" w:eastAsia="Arial" w:hAnsi="Arial"/>
        <w:color w:val="1A3A6B"/>
        <w:sz w:val="16"/>
        <w:szCs w:val="16"/>
      </w:rPr>
      <w:t xml:space="preserve">Instituto Superior Centuria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280" w:after="100"/>
      <w:outlineLvl w:val="1"/>
    </w:pPr>
    <w:rPr>
      <w:rFonts w:ascii="Arial" w:cs="Arial" w:eastAsia="Arial" w:hAnsi="Arial"/>
      <w:b/>
      <w:bCs/>
      <w:color w:val="1A3A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2026-03-12T16:14:57.950Z</dcterms:created>
  <dcterms:modified xsi:type="dcterms:W3CDTF">2026-03-12T16:14:57.951Z</dcterms:modified>
</cp:coreProperties>
</file>

<file path=docProps/custom.xml><?xml version="1.0" encoding="utf-8"?>
<Properties xmlns="http://schemas.openxmlformats.org/officeDocument/2006/custom-properties" xmlns:vt="http://schemas.openxmlformats.org/officeDocument/2006/docPropsVTypes"/>
</file>