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D4EDDA" w:val="clear"/>
            <w:tcMar>
              <w:top w:type="dxa" w:w="100"/>
              <w:left w:type="dxa" w:w="140"/>
              <w:bottom w:type="dxa" w:w="100"/>
              <w:right w:type="dxa" w:w="140"/>
            </w:tcMar>
            <w:vAlign w:val="top"/>
          </w:tcPr>
          <w:p>
            <w:pPr>
              <w:spacing w:before="50" w:after="70"/>
              <w:jc w:val="center"/>
            </w:pPr>
            <w:r>
              <w:rPr>
                <w:rFonts w:ascii="Arial" w:cs="Arial" w:eastAsia="Arial" w:hAnsi="Arial"/>
                <w:b/>
                <w:bCs/>
                <w:color w:val="1E5631"/>
                <w:sz w:val="22"/>
                <w:szCs w:val="22"/>
              </w:rPr>
              <w:t xml:space="preserve">MAESTRÍA EN ADMINISTRACIÓN Y GESTIÓN PÚBLICA</w:t>
            </w:r>
          </w:p>
          <w:p>
            <w:pPr>
              <w:spacing w:before="50" w:after="70"/>
              <w:jc w:val="center"/>
            </w:pPr>
            <w:r>
              <w:rPr>
                <w:rFonts w:ascii="Arial" w:cs="Arial" w:eastAsia="Arial" w:hAnsi="Arial"/>
                <w:i/>
                <w:iCs/>
                <w:color w:val="566573"/>
                <w:sz w:val="19"/>
                <w:szCs w:val="19"/>
              </w:rPr>
              <w:t xml:space="preserve">Introducción a la Contabilidad Pública  ·  M-AGP04</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50" w:after="70"/>
              <w:jc w:val="center"/>
            </w:pPr>
            <w:r>
              <w:rPr>
                <w:rFonts w:ascii="Arial" w:cs="Arial" w:eastAsia="Arial" w:hAnsi="Arial"/>
                <w:b/>
                <w:bCs/>
                <w:color w:val="FFFFFF"/>
                <w:sz w:val="64"/>
                <w:szCs w:val="64"/>
              </w:rPr>
              <w:t xml:space="preserve">CLASE  2</w:t>
            </w:r>
          </w:p>
          <w:p>
            <w:pPr>
              <w:spacing w:before="50" w:after="70"/>
              <w:jc w:val="center"/>
            </w:pPr>
            <w:r>
              <w:rPr>
                <w:rFonts w:ascii="Arial" w:cs="Arial" w:eastAsia="Arial" w:hAnsi="Arial"/>
                <w:b/>
                <w:bCs/>
                <w:color w:val="F9D923"/>
                <w:sz w:val="26"/>
                <w:szCs w:val="26"/>
              </w:rPr>
              <w:t xml:space="preserve">ESTADOS FINANCIEROS Y NICSP</w:t>
            </w:r>
          </w:p>
          <w:p>
            <w:pPr>
              <w:spacing w:before="50" w:after="70"/>
              <w:jc w:val="center"/>
            </w:pPr>
            <w:r>
              <w:rPr>
                <w:rFonts w:ascii="Arial" w:cs="Arial" w:eastAsia="Arial" w:hAnsi="Arial"/>
                <w:b/>
                <w:bCs/>
                <w:color w:val="FFFFFF"/>
                <w:sz w:val="22"/>
                <w:szCs w:val="22"/>
              </w:rPr>
              <w:t xml:space="preserve">Normas y Herramientas de Análisis Financiero</w:t>
            </w:r>
          </w:p>
          <w:p>
            <w:pPr>
              <w:spacing w:before="30"/>
            </w:pPr>
          </w:p>
          <w:p>
            <w:pPr>
              <w:spacing w:before="50" w:after="70"/>
              <w:jc w:val="center"/>
            </w:pPr>
            <w:r>
              <w:rPr>
                <w:rFonts w:ascii="Arial" w:cs="Arial" w:eastAsia="Arial" w:hAnsi="Arial"/>
                <w:i/>
                <w:iCs/>
                <w:color w:val="F9D923"/>
                <w:sz w:val="20"/>
                <w:szCs w:val="20"/>
              </w:rPr>
              <w:t xml:space="preserve">Unidades III y VII  ·  3 horas sincrónicas</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center"/>
          </w:tcPr>
          <w:p>
            <w:pPr>
              <w:spacing w:before="60" w:after="85"/>
              <w:jc w:val="both"/>
            </w:pPr>
            <w:r>
              <w:rPr>
                <w:rFonts w:ascii="Arial" w:cs="Arial" w:eastAsia="Arial" w:hAnsi="Arial"/>
                <w:b/>
                <w:bCs/>
                <w:color w:val="1E5631"/>
                <w:sz w:val="21"/>
                <w:szCs w:val="21"/>
              </w:rPr>
              <w:t xml:space="preserve">Contiene:</w:t>
            </w:r>
          </w:p>
        </w:tc>
        <w:tc>
          <w:tcPr>
            <w:tcBorders>
              <w:top w:val="single" w:color="1E5631" w:sz="4"/>
              <w:left w:val="single" w:color="1E5631" w:sz="4"/>
              <w:bottom w:val="single" w:color="1E5631" w:sz="4"/>
              <w:right w:val="single" w:color="1E5631" w:sz="4"/>
            </w:tcBorders>
            <w:tcMar>
              <w:top w:type="dxa" w:w="100"/>
              <w:left w:type="dxa" w:w="140"/>
              <w:bottom w:type="dxa" w:w="100"/>
              <w:right w:type="dxa" w:w="140"/>
            </w:tcMar>
            <w:vAlign w:val="top"/>
          </w:tcPr>
          <w:p>
            <w:pPr>
              <w:spacing w:before="60" w:after="85"/>
              <w:jc w:val="both"/>
            </w:pPr>
            <w:r>
              <w:rPr>
                <w:rFonts w:ascii="Arial" w:cs="Arial" w:eastAsia="Arial" w:hAnsi="Arial"/>
                <w:color w:val="0D1B2A"/>
                <w:sz w:val="22"/>
                <w:szCs w:val="22"/>
              </w:rPr>
              <w:t xml:space="preserve">Teoría magistral · Ejemplos ilustrativos · Ejercicios resueltos · Ejercicios para el alumno</w:t>
            </w:r>
          </w:p>
        </w:tc>
      </w:tr>
      <w:tr>
        <w:tc>
          <w:tcPr>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center"/>
          </w:tcPr>
          <w:p>
            <w:pPr>
              <w:spacing w:before="60" w:after="85"/>
              <w:jc w:val="both"/>
            </w:pPr>
            <w:r>
              <w:rPr>
                <w:rFonts w:ascii="Arial" w:cs="Arial" w:eastAsia="Arial" w:hAnsi="Arial"/>
                <w:b/>
                <w:bCs/>
                <w:color w:val="1E5631"/>
                <w:sz w:val="21"/>
                <w:szCs w:val="21"/>
              </w:rPr>
              <w:t xml:space="preserve">Estudiante:</w:t>
            </w:r>
          </w:p>
        </w:tc>
        <w:tc>
          <w:tcPr>
            <w:tcBorders>
              <w:top w:val="single" w:color="1E5631" w:sz="4"/>
              <w:left w:val="single" w:color="1E5631" w:sz="4"/>
              <w:bottom w:val="single" w:color="1E5631" w:sz="4"/>
              <w:right w:val="single" w:color="1E5631" w:sz="4"/>
            </w:tcBorders>
            <w:tcMar>
              <w:top w:type="dxa" w:w="100"/>
              <w:left w:type="dxa" w:w="140"/>
              <w:bottom w:type="dxa" w:w="100"/>
              <w:right w:type="dxa" w:w="140"/>
            </w:tcMar>
            <w:vAlign w:val="top"/>
          </w:tcPr>
          <w:p>
            <w:pPr>
              <w:spacing w:before="60" w:after="85"/>
              <w:jc w:val="both"/>
            </w:pPr>
            <w:r>
              <w:rPr>
                <w:rFonts w:ascii="Arial" w:cs="Arial" w:eastAsia="Arial" w:hAnsi="Arial"/>
                <w:color w:val="0D1B2A"/>
                <w:sz w:val="22"/>
                <w:szCs w:val="22"/>
              </w:rPr>
              <w:t xml:space="preserve">_______________________________________________</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110" w:after="110"/>
              <w:jc w:val="center"/>
            </w:pPr>
            <w:r>
              <w:rPr>
                <w:rFonts w:ascii="Arial" w:cs="Arial" w:eastAsia="Arial" w:hAnsi="Arial"/>
                <w:b/>
                <w:bCs/>
                <w:color w:val="FFFFFF"/>
                <w:sz w:val="30"/>
                <w:szCs w:val="30"/>
              </w:rPr>
              <w:t xml:space="preserve">📖  BLOQUE 1  —  LOS ESTADOS FINANCIEROS DEL SECTOR PÚBLICO</w:t>
            </w:r>
          </w:p>
        </w:tc>
      </w:tr>
    </w:tbl>
    <w:p>
      <w:pPr>
        <w:spacing w:before="80"/>
      </w:pPr>
    </w:p>
    <w:p>
      <w:pPr>
        <w:pBdr>
          <w:bottom w:val="single" w:color="F9D923" w:sz="8" w:space="2"/>
        </w:pBdr>
        <w:spacing w:before="280" w:after="100"/>
      </w:pPr>
      <w:r>
        <w:rPr>
          <w:rFonts w:ascii="Arial" w:cs="Arial" w:eastAsia="Arial" w:hAnsi="Arial"/>
          <w:b/>
          <w:bCs/>
          <w:color w:val="1E5631"/>
          <w:sz w:val="26"/>
          <w:szCs w:val="26"/>
        </w:rPr>
        <w:t xml:space="preserve">1.1  ¿Qué son y para qué sirven los Estados Financieros del Estado?</w:t>
      </w:r>
    </w:p>
    <w:p>
      <w:pPr>
        <w:spacing w:before="60" w:after="85"/>
        <w:jc w:val="both"/>
      </w:pPr>
      <w:r>
        <w:rPr>
          <w:rFonts w:ascii="Arial" w:cs="Arial" w:eastAsia="Arial" w:hAnsi="Arial"/>
          <w:color w:val="0D1B2A"/>
          <w:sz w:val="22"/>
          <w:szCs w:val="22"/>
        </w:rPr>
        <w:t xml:space="preserve">Si tuviéramos que resumir en una frase para qué sirven los estados financieros del sector público, sería esta: son la fotografía económico-financiera del Estado en un momento dado. Pero una fotografía que no solo muestra cómo está hoy, sino cómo llegó hasta aquí y hacia dónde va.</w:t>
      </w:r>
    </w:p>
    <w:p>
      <w:pPr>
        <w:spacing w:before="60" w:after="85"/>
        <w:jc w:val="both"/>
      </w:pPr>
      <w:r>
        <w:rPr>
          <w:rFonts w:ascii="Arial" w:cs="Arial" w:eastAsia="Arial" w:hAnsi="Arial"/>
          <w:color w:val="0D1B2A"/>
          <w:sz w:val="22"/>
          <w:szCs w:val="22"/>
        </w:rPr>
        <w:t xml:space="preserve">A diferencia del sector privado donde los estados financieros interesan principalmente a los accionistas y los bancos, los estados financieros del sector público interesan a toda la sociedad: al Congreso que controla al Ejecutivo, a la Contraloría que audita la legalidad del gasto, a los organismos internacionales (FMI, BID, Banco Mundial) que evalúan la sostenibilidad fiscal, y al ciudadano que financia todo con sus impuestos.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0" w:after="70"/>
            </w:pPr>
            <w:r>
              <w:rPr>
                <w:rFonts w:ascii="Arial" w:cs="Arial" w:eastAsia="Arial" w:hAnsi="Arial"/>
                <w:b/>
                <w:bCs/>
                <w:color w:val="FFFFFF"/>
                <w:sz w:val="21"/>
                <w:szCs w:val="21"/>
              </w:rPr>
              <w:t xml:space="preserve">📌  LOS 5 ESTADOS FINANCIEROS DEL SECTOR PÚBLICO PARAGUAYO</w:t>
            </w:r>
          </w:p>
        </w:tc>
      </w:tr>
      <w:tr>
        <w:tc>
          <w:tcPr>
            <w:tcBorders>
              <w:top w:val="single" w:color="1E5631" w:sz="4"/>
              <w:left w:val="single" w:color="1E5631" w:sz="4"/>
              <w:bottom w:val="single" w:color="1E5631" w:sz="4"/>
              <w:right w:val="single" w:color="1E5631" w:sz="4"/>
            </w:tcBorders>
            <w:shd w:fill="D4EDDA" w:val="clear"/>
            <w:tcMar>
              <w:top w:type="dxa" w:w="100"/>
              <w:left w:type="dxa" w:w="140"/>
              <w:bottom w:type="dxa" w:w="100"/>
              <w:right w:type="dxa" w:w="140"/>
            </w:tcMar>
            <w:vAlign w:val="top"/>
          </w:tcPr>
          <w:p>
            <w:pPr>
              <w:spacing w:before="100" w:after="100"/>
              <w:jc w:val="both"/>
            </w:pPr>
            <w:r>
              <w:rPr>
                <w:rFonts w:ascii="Arial" w:cs="Arial" w:eastAsia="Arial" w:hAnsi="Arial"/>
                <w:color w:val="0D1B2A"/>
                <w:sz w:val="22"/>
                <w:szCs w:val="22"/>
              </w:rPr>
              <w:t xml:space="preserve">1) Estado de Situación Patrimonial (balance): activos, pasivos y patrimonio del Estado al cierre del ejercicio.  2) Estado de Rendimiento Financiero (resultados): ingresos y gastos del período.  3) Estado de Cambios en el Patrimonio Neto: cómo varió el patrimonio del Estado durante el año.  4) Estado de Flujo de Efectivo: entradas y salidas reales de caja del Estado.  5) Notas a los estados financieros: información que explica y complementa los cuatro estados anteriores.</w:t>
            </w:r>
          </w:p>
        </w:tc>
      </w:tr>
    </w:tbl>
    <w:p>
      <w:pPr>
        <w:spacing w:before="50"/>
      </w:pPr>
    </w:p>
    <w:p>
      <w:pPr>
        <w:pBdr>
          <w:left w:val="single" w:color="F9D923" w:sz="16" w:space="8"/>
        </w:pBdr>
        <w:spacing w:before="200" w:after="70"/>
        <w:ind w:left="160"/>
      </w:pPr>
      <w:r>
        <w:rPr>
          <w:rFonts w:ascii="Arial" w:cs="Arial" w:eastAsia="Arial" w:hAnsi="Arial"/>
          <w:b/>
          <w:bCs/>
          <w:color w:val="1E5631"/>
          <w:sz w:val="23"/>
          <w:szCs w:val="23"/>
        </w:rPr>
        <w:t xml:space="preserve">El Estado de Situación Patrimonial — el balance del Estado</w:t>
      </w:r>
    </w:p>
    <w:p>
      <w:pPr>
        <w:spacing w:before="60" w:after="85"/>
        <w:jc w:val="both"/>
      </w:pPr>
      <w:r>
        <w:rPr>
          <w:rFonts w:ascii="Arial" w:cs="Arial" w:eastAsia="Arial" w:hAnsi="Arial"/>
          <w:color w:val="0D1B2A"/>
          <w:sz w:val="22"/>
          <w:szCs w:val="22"/>
        </w:rPr>
        <w:t xml:space="preserve">Al igual que en el sector privado, el balance del Estado se estructura en dos grandes bloques que siempre deben ser iguales: ACTIVO (lo que tiene el Estado) = PASIVO (lo que debe el Estado) + PATRIMONIO (la diferencia, que pertenece a la sociedad).</w:t>
      </w:r>
    </w:p>
    <w:p>
      <w:pPr>
        <w:spacing w:before="60" w:after="85"/>
        <w:jc w:val="both"/>
      </w:pPr>
      <w:r>
        <w:rPr>
          <w:rFonts w:ascii="Arial" w:cs="Arial" w:eastAsia="Arial" w:hAnsi="Arial"/>
          <w:color w:val="0D1B2A"/>
          <w:sz w:val="22"/>
          <w:szCs w:val="22"/>
        </w:rPr>
        <w:t xml:space="preserve">La gran diferencia con el sector privado es la composición del activo. Mientras una empresa tiene principalmente activos productivos (maquinarias, inventarios, créditos), el Estado tiene principalmente activos de uso público: rutas, puentes, hospitales, escuelas, equipos militares, parques nacionales. Muchos de estos activos NO GENERAN INGRESOS — existen para proveer servicios, no para producir ganancias.</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26"/>
        <w:gridCol w:w="3400"/>
      </w:tblGrid>
      <w:tr>
        <w:tc>
          <w:tcPr>
            <w:tcW w:type="dxa" w:w="18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Componente del Balance</w:t>
            </w:r>
          </w:p>
        </w:tc>
        <w:tc>
          <w:tcPr>
            <w:tcW w:type="dxa" w:w="3826"/>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¿Qué incluye en el Estado paraguayo?</w:t>
            </w:r>
          </w:p>
        </w:tc>
        <w:tc>
          <w:tcPr>
            <w:tcW w:type="dxa" w:w="34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Ejemplo concreto</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ACTIVO CORRIENTE</w:t>
            </w:r>
          </w:p>
        </w:tc>
        <w:tc>
          <w:tcPr>
            <w:tcW w:type="dxa" w:w="3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Efectivo en el Banco Central, cuentas por cobrar a vencer en menos de un año, inversiones financieras a corto plazo.</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Los impuestos recaudados en diciembre pero depositados en enero. Las letras de regulación monetaria del BCP.</w:t>
            </w:r>
          </w:p>
        </w:tc>
      </w:tr>
      <w:tr>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ACTIVO NO CORRIENTE</w:t>
            </w:r>
          </w:p>
        </w:tc>
        <w:tc>
          <w:tcPr>
            <w:tcW w:type="dxa" w:w="3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Bienes del Estado de uso duradero: inmuebles, equipos, vehículos, obras de infraestructura, inversiones en empresas públicas.</w:t>
            </w:r>
          </w:p>
        </w:tc>
        <w:tc>
          <w:tcPr>
            <w:tcW w:type="dxa" w:w="3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edificio del MHCP, los vehículos del Ejército, las rutas y puentes del MOPC, las acciones que el Estado tiene en ANDE y ESSAP.</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PASIVO CORRIENTE</w:t>
            </w:r>
          </w:p>
        </w:tc>
        <w:tc>
          <w:tcPr>
            <w:tcW w:type="dxa" w:w="3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Deudas del Estado a vencer en menos de un año: sueldos pendientes de pago, facturas de proveedores aprobadas.</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Los sueldos de diciembre que se pagan en enero. Las facturas de proveedores ya devengadas pero pendientes de pago al 31/12.</w:t>
            </w:r>
          </w:p>
        </w:tc>
      </w:tr>
      <w:tr>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PASIVO NO CORRIENTE</w:t>
            </w:r>
          </w:p>
        </w:tc>
        <w:tc>
          <w:tcPr>
            <w:tcW w:type="dxa" w:w="38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Deuda pública a largo plazo: bonos del tesoro, préstamos del BID, BM, CAF, FONPLATA y otros organismos.</w:t>
            </w:r>
          </w:p>
        </w:tc>
        <w:tc>
          <w:tcPr>
            <w:tcW w:type="dxa" w:w="3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préstamo del BID para el proyecto de agua potable de ESSAP. Los bonos soberanos emitidos en el mercado internacional.</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PATRIMONIO NETO</w:t>
            </w:r>
          </w:p>
        </w:tc>
        <w:tc>
          <w:tcPr>
            <w:tcW w:type="dxa" w:w="38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Diferencia entre activo total y pasivo total. Representa el valor neto de lo que la sociedad posee a través del Estado.</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Si el Estado tiene activos por Gs. 200 billones y deudas por Gs. 80 billones, el patrimonio neto es Gs. 120 billones.</w:t>
            </w:r>
          </w:p>
        </w:tc>
      </w:tr>
    </w:tbl>
    <w:p>
      <w:pPr>
        <w:spacing w:before="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EJEMPLO 1  —  Leer e interpretar el Balance del Estado — caso simplificado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Supongamos que el Gobierno Central de Paraguay presenta al 31 de diciembre el siguiente balance SIMPLIFICADO (en millones de guaraníes):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ACTIVO: Efectivo y equiv. Gs. 12.500 MM · Cuentas por cobrar Gs. 8.200 MM · Bienes de uso Gs. 185.000 MM · Inversiones en emp. públicas Gs. 42.000 MM · TOTAL ACTIVO Gs. 247.700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PASIVO: Cuentas por pagar Gs. 15.300 MM · Deuda pública c/plazo Gs. 8.200 MM · Deuda pública l/plazo Gs. 98.500 MM · TOTAL PASIVO Gs. 122.000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PATRIMONIO NETO = 247.700 – 122.000 = Gs. 125.700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¿Qué nos dice este balance? (1) El Estado tiene muchos más activos no corrientes (bienes de uso + inversiones) que corrientes — es normal, el Estado acumula infraestructura. (2) La deuda de largo plazo es significativa (Gs. 98.500 MM) pero el patrimonio neto positivo indica solvencia. (3) Las cuentas por pagar a proveedores (Gs. 15.300 MM) representan deudas vencidas o próximas a vencer — hay que verificar si están siendo pagadas en los plazos legales.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Pregunta clave para el analista público: ¿Los bienes de uso (Gs. 185.000 MM) están correctamente valuados y depreciados? En Paraguay, la subestimación del activo del Estado es un problema histórico documentado por la CGR.</w:t>
            </w:r>
          </w:p>
        </w:tc>
      </w:tr>
    </w:tbl>
    <w:p>
      <w:pPr>
        <w:spacing w:before="80"/>
      </w:pPr>
    </w:p>
    <w:p>
      <w:pPr>
        <w:pBdr>
          <w:bottom w:val="single" w:color="F9D923" w:sz="8" w:space="2"/>
        </w:pBdr>
        <w:spacing w:before="280" w:after="100"/>
      </w:pPr>
      <w:r>
        <w:rPr>
          <w:rFonts w:ascii="Arial" w:cs="Arial" w:eastAsia="Arial" w:hAnsi="Arial"/>
          <w:b/>
          <w:bCs/>
          <w:color w:val="1E5631"/>
          <w:sz w:val="26"/>
          <w:szCs w:val="26"/>
        </w:rPr>
        <w:t xml:space="preserve">1.2  Las NICSP — Normas Internacionales de Contabilidad del Sector Público</w:t>
      </w:r>
    </w:p>
    <w:p>
      <w:pPr>
        <w:spacing w:before="60" w:after="85"/>
        <w:jc w:val="both"/>
      </w:pPr>
      <w:r>
        <w:rPr>
          <w:rFonts w:ascii="Arial" w:cs="Arial" w:eastAsia="Arial" w:hAnsi="Arial"/>
          <w:color w:val="0D1B2A"/>
          <w:sz w:val="22"/>
          <w:szCs w:val="22"/>
        </w:rPr>
        <w:t xml:space="preserve">Las NICSP (Normas Internacionales de Contabilidad del Sector Público) son el conjunto de estándares emitidos por el IPSASB (International Public Sector Accounting Standards Board) que establecen cómo deben prepararse los estados financieros de los gobiernos y entidades del sector público. Son para los gobiernos lo que las NIIF son para las empresas privadas.</w:t>
      </w:r>
    </w:p>
    <w:p>
      <w:pPr>
        <w:spacing w:before="60" w:after="85"/>
        <w:jc w:val="both"/>
      </w:pPr>
      <w:r>
        <w:rPr>
          <w:rFonts w:ascii="Arial" w:cs="Arial" w:eastAsia="Arial" w:hAnsi="Arial"/>
          <w:color w:val="0D1B2A"/>
          <w:sz w:val="22"/>
          <w:szCs w:val="22"/>
        </w:rPr>
        <w:t xml:space="preserve">Paraguay ha iniciado un proceso gradual de adopción de las NICSP, impulsado principalmente por el Ministerio de Hacienda y con apoyo técnico del BID y el FMI. No es una adopción plena todavía — es un proceso de convergencia, es decir, se adoptan progresivamente aquellas normas que resultan más relevantes y factibles de implementar en el contexto institucional paraguayo.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F9D923" w:sz="4"/>
              <w:left w:val="single" w:color="F9D923" w:sz="4"/>
              <w:bottom w:val="single" w:color="F9D923" w:sz="4"/>
              <w:right w:val="single" w:color="F9D923" w:sz="4"/>
            </w:tcBorders>
            <w:shd w:fill="FFFACD" w:val="clear"/>
            <w:tcMar>
              <w:top w:type="dxa" w:w="100"/>
              <w:left w:type="dxa" w:w="140"/>
              <w:bottom w:type="dxa" w:w="100"/>
              <w:right w:type="dxa" w:w="140"/>
            </w:tcMar>
            <w:vAlign w:val="center"/>
          </w:tcPr>
          <w:p>
            <w:pPr>
              <w:spacing w:before="50" w:after="70"/>
              <w:jc w:val="center"/>
            </w:pPr>
            <w:r>
              <w:rPr>
                <w:rFonts w:ascii="Arial" w:cs="Arial" w:eastAsia="Arial" w:hAnsi="Arial"/>
                <w:b/>
                <w:bCs/>
                <w:color w:val="0D1B2A"/>
                <w:sz w:val="28"/>
                <w:szCs w:val="28"/>
              </w:rPr>
              <w:t xml:space="preserve">💡</w:t>
            </w:r>
          </w:p>
        </w:tc>
        <w:tc>
          <w:tcPr>
            <w:tcBorders>
              <w:top w:val="single" w:color="F9D923" w:sz="4"/>
              <w:left w:val="single" w:color="F9D923" w:sz="4"/>
              <w:bottom w:val="single" w:color="F9D923" w:sz="4"/>
              <w:right w:val="single" w:color="F9D923" w:sz="4"/>
            </w:tcBorders>
            <w:shd w:fill="FFFACD" w:val="clear"/>
            <w:tcMar>
              <w:top w:type="dxa" w:w="100"/>
              <w:left w:type="dxa" w:w="140"/>
              <w:bottom w:type="dxa" w:w="100"/>
              <w:right w:type="dxa" w:w="140"/>
            </w:tcMar>
            <w:vAlign w:val="top"/>
          </w:tcPr>
          <w:p>
            <w:pPr>
              <w:spacing w:before="80" w:after="80"/>
              <w:jc w:val="both"/>
            </w:pPr>
            <w:r>
              <w:rPr>
                <w:rFonts w:ascii="Arial" w:cs="Arial" w:eastAsia="Arial" w:hAnsi="Arial"/>
                <w:color w:val="0D1B2A"/>
                <w:sz w:val="21"/>
                <w:szCs w:val="21"/>
              </w:rPr>
              <w:t xml:space="preserve">NICSP CLAVE PARA PARAGUAY: NICSP 1 (Presentación de EEFF), NICSP 2 (Flujo de efectivo), NICSP 6 (EEFF consolidados), NICSP 17 (Propiedad, planta y equipo), NICSP 19 (Provisiones), NICSP 23 (Ingresos de transacciones sin contraprestación — impuestos). Estas son las más aplicadas actualmente.</w:t>
            </w:r>
          </w:p>
        </w:tc>
      </w:tr>
    </w:tbl>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426"/>
        <w:gridCol w:w="3100"/>
      </w:tblGrid>
      <w:tr>
        <w:tc>
          <w:tcPr>
            <w:tcW w:type="dxa" w:w="7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NICSP</w:t>
            </w:r>
          </w:p>
        </w:tc>
        <w:tc>
          <w:tcPr>
            <w:tcW w:type="dxa" w:w="18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Tema</w:t>
            </w:r>
          </w:p>
        </w:tc>
        <w:tc>
          <w:tcPr>
            <w:tcW w:type="dxa" w:w="3426"/>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¿Qué establece?</w:t>
            </w:r>
          </w:p>
        </w:tc>
        <w:tc>
          <w:tcPr>
            <w:tcW w:type="dxa" w:w="31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Aplicación Paraguay</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NICSP 1</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Presentación de EEFF</w:t>
            </w:r>
          </w:p>
        </w:tc>
        <w:tc>
          <w:tcPr>
            <w:tcW w:type="dxa" w:w="3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Requisitos mínimos para la presentación de estados financieros del sector público.</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MHCP usa esta norma como referencia para la estructura de la Cuenta General del Ejercicio.</w:t>
            </w:r>
          </w:p>
        </w:tc>
      </w:tr>
      <w:tr>
        <w:tc>
          <w:tcPr>
            <w:tcW w:type="dxa" w:w="7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NICSP 17</w:t>
            </w:r>
          </w:p>
        </w:tc>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Propiedad, Planta y Equipo</w:t>
            </w:r>
          </w:p>
        </w:tc>
        <w:tc>
          <w:tcPr>
            <w:tcW w:type="dxa" w:w="3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Cómo registrar, depreciar y dar de baja los activos físicos del Estado.</w:t>
            </w:r>
          </w:p>
        </w:tc>
        <w:tc>
          <w:tcPr>
            <w:tcW w:type="dxa" w:w="31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Uno de los desafíos mayores: Paraguay tiene un inventario de bienes del Estado que históricamente ha sido incompleto y mal valuado.</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NICSP 19</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Provisiones y Pasivos Contingentes</w:t>
            </w:r>
          </w:p>
        </w:tc>
        <w:tc>
          <w:tcPr>
            <w:tcW w:type="dxa" w:w="3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Cuándo y cómo reconocer obligaciones inciertas del Estado (juicios, garantías).</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Las demandas judiciales contra el Estado paraguayo representan un pasivo contingente significativo que debe ser revelado.</w:t>
            </w:r>
          </w:p>
        </w:tc>
      </w:tr>
      <w:tr>
        <w:tc>
          <w:tcPr>
            <w:tcW w:type="dxa" w:w="7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NICSP 23</w:t>
            </w:r>
          </w:p>
        </w:tc>
        <w:tc>
          <w:tcPr>
            <w:tcW w:type="dxa" w:w="18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Ingresos sin Contraprestación</w:t>
            </w:r>
          </w:p>
        </w:tc>
        <w:tc>
          <w:tcPr>
            <w:tcW w:type="dxa" w:w="34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Cómo registrar los ingresos tributarios (impuestos) donde no hay una prestación directa al contribuyente.</w:t>
            </w:r>
          </w:p>
        </w:tc>
        <w:tc>
          <w:tcPr>
            <w:tcW w:type="dxa" w:w="31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El IVA, el IRE y el IRP que recauda la SET deben registrarse conforme a esta norma.</w:t>
            </w:r>
          </w:p>
        </w:tc>
      </w:tr>
      <w:tr>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NICSP 2</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Estado de Flujo de Efectivo</w:t>
            </w:r>
          </w:p>
        </w:tc>
        <w:tc>
          <w:tcPr>
            <w:tcW w:type="dxa" w:w="34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Formato y clasificación de los flujos de efectivo del gobierno.</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La Tesorería General de la República usa esta norma para reportar los movimientos de fondos del Tesoro.</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EJERCICIO RESUELTO 1  —  Calcular e interpretar la depreciación de activos del Estado — NICSP 17</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SITUACIÓN: El Ministerio de Salud compró en enero de 2020 un tomógrafo computarizado por Gs. 4.500 millones. Vida útil estimada: 10 años. Valor residual al final de la vida útil: Gs. 500 millones. Método de depreciación: línea recta.</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PASO 1 — Calcular la cuota anual de depreciación:</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Cuota anual = (Valor de adquisición – Valor residual) / Vida útil</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Cuota anual = (Gs. 4.500 MM – Gs. 500 MM) / 10 años = Gs. 400 MM por año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PASO 2 — Calcular el valor en libros al 31 de diciembre de 2024 (después de 5 años de uso):</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Depreciación acumulada 5 años = Gs. 400 MM × 5 = Gs. 2.000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Valor en libros 2024 = Gs. 4.500 MM – Gs. 2.000 MM = Gs. 2.500 MM</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PASO 3 — Asiento contable de depreciación al 31/12/2024:</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Débito: Gasto por depreciación — Equipos Médicos    Gs. 400 MM</w:t>
            </w:r>
          </w:p>
        </w:tc>
      </w:tr>
      <w:tr>
        <w:tc>
          <w:tcPr>
            <w:tcBorders>
              <w:top w:val="single" w:color="AAAAAA" w:sz="4"/>
              <w:left w:val="single" w:color="AAAAAA" w:sz="4"/>
              <w:bottom w:val="single" w:color="AAAAAA" w:sz="4"/>
              <w:right w:val="single" w:color="AAAAAA" w:sz="4"/>
            </w:tcBorders>
            <w:shd w:fill="FFFFFF"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   Crédito: Depreciación acumulada — Equipos Médicos   Gs. 400 MM</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70" w:after="70"/>
              <w:jc w:val="both"/>
            </w:pPr>
            <w:r>
              <w:rPr>
                <w:rFonts w:ascii="Arial" w:cs="Arial" w:eastAsia="Arial" w:hAnsi="Arial"/>
                <w:color w:val="0D1B2A"/>
                <w:sz w:val="21"/>
                <w:szCs w:val="21"/>
              </w:rPr>
              <w:t xml:space="preserve">ANÁLISIS: En el Balance, el tomógrafo figura como: Costo Gs. 4.500 MM menos Depreciación acumulada Gs. 2.000 MM = Valor neto Gs. 2.500 MM. Si el Estado NO registrara la depreciación, sobreestimaría su patrimonio y el Estado de Resultados no mostraría el verdadero costo de operar el hospital.</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241C" w:sz="4"/>
              <w:left w:val="single" w:color="7B241C" w:sz="4"/>
              <w:bottom w:val="single" w:color="7B241C" w:sz="4"/>
              <w:right w:val="single" w:color="7B241C" w:sz="4"/>
            </w:tcBorders>
            <w:shd w:fill="7B241C"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1"/>
                <w:szCs w:val="21"/>
              </w:rPr>
              <w:t xml:space="preserve">📝  EJERCICIO 1</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Ejercicio de Estados Financieros — complete el balance y calcule el patrimonio neto: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La Gobernación de Itapúa presenta al 31/12 los siguientes datos (en millones de guaraníes):</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Efectivo en cuenta bancaria: Gs. 1.250 MM · Vehículos (neto de depreciación): Gs. 3.800 MM · Equipos informáticos: Gs. 420 MM · Edificio sede: Gs. 12.000 MM · Sueldos pendientes de pago dic: Gs. 980 MM · Préstamo a 5 años con gobernación central: Gs. 8.500 MM · Facturas proveedores pendientes: Gs. 1.340 MM · IVA cobrado pendiente de remitir a SET: Gs. 280 MM</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Consigna: (a) Construya el Estado de Situación Patrimonial completo clasificando cada rubro en activo corriente, activo no corriente, pasivo corriente, pasivo no corriente y patrimonio neto.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(b) Calcule el Patrimonio Neto. ¿Es positivo o negativo? ¿Qué significa eso para la gobernación?</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 Si los vehículos tienen un costo original de Gs. 5.200 MM, ¿cuánto es la depreciación acumulada?</w:t>
            </w:r>
          </w:p>
        </w:tc>
      </w:tr>
      <w:tr>
        <w:tc>
          <w:tcPr>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55" w:after="55"/>
            </w:pPr>
            <w:r>
              <w:rPr>
                <w:rFonts w:ascii="Arial" w:cs="Arial" w:eastAsia="Arial" w:hAnsi="Arial"/>
                <w:b/>
                <w:bCs/>
                <w:color w:val="1E5631"/>
                <w:sz w:val="20"/>
                <w:szCs w:val="20"/>
              </w:rPr>
              <w:t xml:space="preserve">Resolución:</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241C" w:sz="4"/>
              <w:left w:val="single" w:color="7B241C" w:sz="4"/>
              <w:bottom w:val="single" w:color="7B241C" w:sz="4"/>
              <w:right w:val="single" w:color="7B241C" w:sz="4"/>
            </w:tcBorders>
            <w:shd w:fill="7B241C"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1"/>
                <w:szCs w:val="21"/>
              </w:rPr>
              <w:t xml:space="preserve">📝  EJERCICIO 2</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Debate aplicado — NICSP en su institución:</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Elija UNA de las 5 NICSP presentadas en clase y responda:</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a) ¿Esta norma se aplica actualmente en su institución? ¿De qué forma?</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b) Si NO se aplica, ¿cuál es el impacto en la calidad de la información financiera de su institución?</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 ¿Qué obstáculos concretos (técnicos, presupuestarios, culturales) identifica para su adopción plena?</w:t>
            </w:r>
          </w:p>
        </w:tc>
      </w:tr>
      <w:tr>
        <w:tc>
          <w:tcPr>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55" w:after="55"/>
            </w:pPr>
            <w:r>
              <w:rPr>
                <w:rFonts w:ascii="Arial" w:cs="Arial" w:eastAsia="Arial" w:hAnsi="Arial"/>
                <w:b/>
                <w:bCs/>
                <w:color w:val="1E5631"/>
                <w:sz w:val="20"/>
                <w:szCs w:val="20"/>
              </w:rPr>
              <w:t xml:space="preserve">Resolución:</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110" w:after="110"/>
              <w:jc w:val="center"/>
            </w:pPr>
            <w:r>
              <w:rPr>
                <w:rFonts w:ascii="Arial" w:cs="Arial" w:eastAsia="Arial" w:hAnsi="Arial"/>
                <w:b/>
                <w:bCs/>
                <w:color w:val="FFFFFF"/>
                <w:sz w:val="30"/>
                <w:szCs w:val="30"/>
              </w:rPr>
              <w:t xml:space="preserve">📖  BLOQUE 2  —  PRINCIPIOS DOCTRINARIOS Y CARACTERÍSTICAS CUALITATIVAS</w:t>
            </w:r>
          </w:p>
        </w:tc>
      </w:tr>
    </w:tbl>
    <w:p>
      <w:pPr>
        <w:spacing w:before="80"/>
      </w:pPr>
    </w:p>
    <w:p>
      <w:pPr>
        <w:pBdr>
          <w:bottom w:val="single" w:color="F9D923" w:sz="8" w:space="2"/>
        </w:pBdr>
        <w:spacing w:before="280" w:after="100"/>
      </w:pPr>
      <w:r>
        <w:rPr>
          <w:rFonts w:ascii="Arial" w:cs="Arial" w:eastAsia="Arial" w:hAnsi="Arial"/>
          <w:b/>
          <w:bCs/>
          <w:color w:val="1E5631"/>
          <w:sz w:val="26"/>
          <w:szCs w:val="26"/>
        </w:rPr>
        <w:t xml:space="preserve">2.1  ¿Por qué la información pública debe ser de calidad?</w:t>
      </w:r>
    </w:p>
    <w:p>
      <w:pPr>
        <w:spacing w:before="60" w:after="85"/>
        <w:jc w:val="both"/>
      </w:pPr>
      <w:r>
        <w:rPr>
          <w:rFonts w:ascii="Arial" w:cs="Arial" w:eastAsia="Arial" w:hAnsi="Arial"/>
          <w:color w:val="0D1B2A"/>
          <w:sz w:val="22"/>
          <w:szCs w:val="22"/>
        </w:rPr>
        <w:t xml:space="preserve">Una pregunta que parece obvia pero que en la práctica se ignora frecuentemente en el sector público: ¿para qué sirve la información financiera si nadie la lee, si está tres años desactualizada, o si está redactada en un lenguaje tan técnico que ni un contador puede entenderla?</w:t>
      </w:r>
    </w:p>
    <w:p>
      <w:pPr>
        <w:spacing w:before="60" w:after="85"/>
        <w:jc w:val="both"/>
      </w:pPr>
      <w:r>
        <w:rPr>
          <w:rFonts w:ascii="Arial" w:cs="Arial" w:eastAsia="Arial" w:hAnsi="Arial"/>
          <w:color w:val="0D1B2A"/>
          <w:sz w:val="22"/>
          <w:szCs w:val="22"/>
        </w:rPr>
        <w:t xml:space="preserve">Las NICSP y la doctrina contable internacional establecen que la información financiera del sector público debe cumplir cuatro características cualitativas para ser verdaderamente útil. No son sugerencias — son requisitos.</w:t>
      </w:r>
    </w:p>
    <w:p>
      <w:pPr>
        <w:spacing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2700"/>
        <w:gridCol w:w="2626"/>
      </w:tblGrid>
      <w:tr>
        <w:tc>
          <w:tcPr>
            <w:tcW w:type="dxa" w:w="14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Característica</w:t>
            </w:r>
          </w:p>
        </w:tc>
        <w:tc>
          <w:tcPr>
            <w:tcW w:type="dxa" w:w="23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Definición</w:t>
            </w:r>
          </w:p>
        </w:tc>
        <w:tc>
          <w:tcPr>
            <w:tcW w:type="dxa" w:w="2700"/>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Si NO se cumple…</w:t>
            </w:r>
          </w:p>
        </w:tc>
        <w:tc>
          <w:tcPr>
            <w:tcW w:type="dxa" w:w="2626"/>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65" w:after="65"/>
              <w:jc w:val="center"/>
            </w:pPr>
            <w:r>
              <w:rPr>
                <w:rFonts w:ascii="Arial" w:cs="Arial" w:eastAsia="Arial" w:hAnsi="Arial"/>
                <w:b/>
                <w:bCs/>
                <w:color w:val="FFFFFF"/>
                <w:sz w:val="18"/>
                <w:szCs w:val="18"/>
              </w:rPr>
              <w:t xml:space="preserve">Ejemplo en Paraguay</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COMPRENSIBILIDAD</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La información debe poder ser entendida por usuarios con conocimiento razonable de contabilidad y administración pública.</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La información existe pero nadie puede usarla para tomar decisiones. Los ciudadanos no pueden ejercer control.</w:t>
            </w:r>
          </w:p>
        </w:tc>
        <w:tc>
          <w:tcPr>
            <w:tcW w:type="dxa" w:w="2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Si la Cuenta General del Ejercicio tiene 800 páginas de tablas técnicas sin interpretación, es comprensible para especialistas pero inútil para diputados y ciudadanos.</w:t>
            </w:r>
          </w:p>
        </w:tc>
      </w:tr>
      <w:tr>
        <w:tc>
          <w:tcPr>
            <w:tcW w:type="dxa" w:w="1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RELEVANCIA</w:t>
            </w:r>
          </w:p>
        </w:tc>
        <w:tc>
          <w:tcPr>
            <w:tcW w:type="dxa" w:w="23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La información debe influir en las decisiones de los usuarios — debe ser oportuna y tener valor predictivo o confirmatorio.</w:t>
            </w:r>
          </w:p>
        </w:tc>
        <w:tc>
          <w:tcPr>
            <w:tcW w:type="dxa" w:w="27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Los estados financieros son un dato histórico que no cambia ninguna decisión — no sirven para gestionar.</w:t>
            </w:r>
          </w:p>
        </w:tc>
        <w:tc>
          <w:tcPr>
            <w:tcW w:type="dxa" w:w="26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Un informe de ejecución presupuestaria publicado con 18 meses de retraso es irrelevante — los recursos ya se gastaron y no se puede corregir nada.</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FIABILIDAD</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La información debe representar fielmente las transacciones, ser neutral y estar libre de errores materiales.</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Los estados financieros no reflejan la realidad — generan decisiones erradas y pérdida de confianza institucional.</w:t>
            </w:r>
          </w:p>
        </w:tc>
        <w:tc>
          <w:tcPr>
            <w:tcW w:type="dxa" w:w="2626"/>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Si el Estado sub-registra su deuda pública (no incluye las deudas contingentes o cuasi-fiscales), la fiabilidad está comprometida.</w:t>
            </w:r>
          </w:p>
        </w:tc>
      </w:tr>
      <w:tr>
        <w:tc>
          <w:tcPr>
            <w:tcW w:type="dxa" w:w="14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left"/>
            </w:pPr>
            <w:r>
              <w:rPr>
                <w:rFonts w:ascii="Arial" w:cs="Arial" w:eastAsia="Arial" w:hAnsi="Arial"/>
                <w:b/>
                <w:bCs/>
                <w:color w:val="1E5631"/>
                <w:sz w:val="19"/>
                <w:szCs w:val="19"/>
              </w:rPr>
              <w:t xml:space="preserve">COMPARABILIDAD</w:t>
            </w:r>
          </w:p>
        </w:tc>
        <w:tc>
          <w:tcPr>
            <w:tcW w:type="dxa" w:w="23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La información debe poder compararse con períodos anteriores y con otras entidades similares.</w:t>
            </w:r>
          </w:p>
        </w:tc>
        <w:tc>
          <w:tcPr>
            <w:tcW w:type="dxa" w:w="2700"/>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No se puede evaluar si la gestión mejoró o empeoró respecto al año anterior o a gobernaciones similares.</w:t>
            </w:r>
          </w:p>
        </w:tc>
        <w:tc>
          <w:tcPr>
            <w:tcW w:type="dxa" w:w="2626"/>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90" w:after="90"/>
              <w:jc w:val="both"/>
            </w:pPr>
            <w:r>
              <w:rPr>
                <w:rFonts w:ascii="Arial" w:cs="Arial" w:eastAsia="Arial" w:hAnsi="Arial"/>
                <w:b w:val="false"/>
                <w:bCs w:val="false"/>
                <w:color w:val="0D1B2A"/>
                <w:sz w:val="19"/>
                <w:szCs w:val="19"/>
              </w:rPr>
              <w:t xml:space="preserve">Si cada departamento del Paraguay usa un plan de cuentas diferente, es imposible comparar la ejecución presupuestaria entre Itapúa, Alto Paraná y Central.</w:t>
            </w:r>
          </w:p>
        </w:tc>
      </w:tr>
    </w:tbl>
    <w:p>
      <w:pPr>
        <w:spacing w:before="7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0"/>
                <w:szCs w:val="20"/>
              </w:rPr>
              <w:t xml:space="preserve">✏️  EJEMPLO 2  —  Las 4 características en un caso real — Informes de transparencia del MHCP</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El portal de transparencia del Ministerio de Hacienda (www.hacienda.gov.py) publica mensualmente datos de ejecución presupuestaria. Analicemos si cumple las 4 características: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COMPRENSIBILIDAD: Parcialmente cumplida. Los datos están disponibles en tablas descargables, pero no hay interpretación narrativa que explique qué significa la subejecución en ciertas áreas. Un ciudadano sin formación contable difícilmente puede sacar conclusiones.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RELEVANCIA: Bien cumplida en cuanto a oportunidad — los datos se publican con solo 30-45 días de retraso, lo que permite seguimiento en tiempo casi real de la ejecución del presupuesto.</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FIABILIDAD: Es el aspecto más discutido. La CGR ha observado históricamente que los estados financieros consolidados del sector público no incluyen la totalidad de las entidades descentralizadas y que la valuación de activos tiene inconsistencias.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COMPARABILIDAD: Mejoró significativamente con el SIAF — permite comparar la ejecución por institución y por año. Sin embargo, los cambios en la clasificación presupuestaria entre años dificultan comparaciones exactas.</w:t>
            </w:r>
          </w:p>
        </w:tc>
      </w:tr>
      <w:tr>
        <w:tc>
          <w:tcPr>
            <w:tcBorders>
              <w:top w:val="single" w:color="AAAAAA" w:sz="4"/>
              <w:left w:val="single" w:color="AAAAAA" w:sz="4"/>
              <w:bottom w:val="single" w:color="AAAAAA" w:sz="4"/>
              <w:right w:val="single" w:color="AAAAAA" w:sz="4"/>
            </w:tcBorders>
            <w:shd w:fill="E8F5E9" w:val="clear"/>
            <w:tcMar>
              <w:top w:type="dxa" w:w="100"/>
              <w:left w:type="dxa" w:w="140"/>
              <w:bottom w:type="dxa" w:w="100"/>
              <w:right w:type="dxa" w:w="140"/>
            </w:tcMar>
            <w:vAlign w:val="top"/>
          </w:tcPr>
          <w:p>
            <w:pPr>
              <w:spacing w:before="65" w:after="65"/>
              <w:jc w:val="both"/>
            </w:pPr>
            <w:r>
              <w:rPr>
                <w:rFonts w:ascii="Arial" w:cs="Arial" w:eastAsia="Arial" w:hAnsi="Arial"/>
                <w:color w:val="0D1B2A"/>
                <w:sz w:val="21"/>
                <w:szCs w:val="21"/>
              </w:rPr>
              <w:t xml:space="preserve">Conclusión del análisis: El sistema paraguayo cumple razonablemente con relevancia y ha mejorado en comparabilidad, pero tiene deudas importantes en comprensibilidad ciudadana y fiabilidad integral.</w:t>
            </w:r>
          </w:p>
        </w:tc>
      </w:tr>
    </w:tbl>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241C" w:sz="4"/>
              <w:left w:val="single" w:color="7B241C" w:sz="4"/>
              <w:bottom w:val="single" w:color="7B241C" w:sz="4"/>
              <w:right w:val="single" w:color="7B241C" w:sz="4"/>
            </w:tcBorders>
            <w:shd w:fill="7B241C" w:val="clear"/>
            <w:tcMar>
              <w:top w:type="dxa" w:w="100"/>
              <w:left w:type="dxa" w:w="140"/>
              <w:bottom w:type="dxa" w:w="100"/>
              <w:right w:type="dxa" w:w="140"/>
            </w:tcMar>
            <w:vAlign w:val="top"/>
          </w:tcPr>
          <w:p>
            <w:pPr>
              <w:spacing w:before="75" w:after="75"/>
              <w:jc w:val="center"/>
            </w:pPr>
            <w:r>
              <w:rPr>
                <w:rFonts w:ascii="Arial" w:cs="Arial" w:eastAsia="Arial" w:hAnsi="Arial"/>
                <w:b/>
                <w:bCs/>
                <w:color w:val="FFFFFF"/>
                <w:sz w:val="21"/>
                <w:szCs w:val="21"/>
              </w:rPr>
              <w:t xml:space="preserve">📝  EJERCICIO 3</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Evaluación de calidad de información — análisis crítico: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Descargue del portal www.hacienda.gov.py el último informe de ejecución presupuestaria disponible de SU institución (o de cualquier institución que elija).</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a) Evalúe el informe según las 4 características cualitativas: ¿Se cumple cada una? Justifique con evidencia concreta del documento.</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b) Identifique UNA debilidad específica de ese informe y proponga cómo mejorarla.</w:t>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
            </w:r>
          </w:p>
        </w:tc>
      </w:tr>
      <w:tr>
        <w:tc>
          <w:tcPr>
            <w:tcBorders>
              <w:top w:val="single" w:color="CCCCCC" w:sz="4"/>
              <w:left w:val="single" w:color="CCCCCC" w:sz="4"/>
              <w:bottom w:val="single" w:color="CCCCCC" w:sz="4"/>
              <w:right w:val="single" w:color="CCCCCC" w:sz="4"/>
            </w:tcBorders>
            <w:shd w:fill="FFF5F5" w:val="clear"/>
            <w:tcMar>
              <w:top w:type="dxa" w:w="100"/>
              <w:left w:type="dxa" w:w="140"/>
              <w:bottom w:type="dxa" w:w="100"/>
              <w:right w:type="dxa" w:w="140"/>
            </w:tcMar>
            <w:vAlign w:val="top"/>
          </w:tcPr>
          <w:p>
            <w:pPr>
              <w:spacing w:before="50" w:after="50"/>
              <w:jc w:val="both"/>
            </w:pPr>
            <w:r>
              <w:rPr>
                <w:rFonts w:ascii="Arial" w:cs="Arial" w:eastAsia="Arial" w:hAnsi="Arial"/>
                <w:color w:val="0D1B2A"/>
                <w:sz w:val="21"/>
                <w:szCs w:val="21"/>
              </w:rPr>
              <w:t xml:space="preserve">c) ¿Para qué tipo de decisión utilizaría esa información si fuera el Director Administrativo Financiero de esa institución?</w:t>
            </w:r>
          </w:p>
        </w:tc>
      </w:tr>
      <w:tr>
        <w:tc>
          <w:tcPr>
            <w:tcBorders>
              <w:top w:val="single" w:color="1E5631" w:sz="4"/>
              <w:left w:val="single" w:color="1E5631" w:sz="4"/>
              <w:bottom w:val="single" w:color="1E5631" w:sz="4"/>
              <w:right w:val="single" w:color="1E5631" w:sz="4"/>
            </w:tcBorders>
            <w:shd w:fill="E8F5E9" w:val="clear"/>
            <w:tcMar>
              <w:top w:type="dxa" w:w="100"/>
              <w:left w:type="dxa" w:w="140"/>
              <w:bottom w:type="dxa" w:w="100"/>
              <w:right w:type="dxa" w:w="140"/>
            </w:tcMar>
            <w:vAlign w:val="top"/>
          </w:tcPr>
          <w:p>
            <w:pPr>
              <w:spacing w:before="55" w:after="55"/>
            </w:pPr>
            <w:r>
              <w:rPr>
                <w:rFonts w:ascii="Arial" w:cs="Arial" w:eastAsia="Arial" w:hAnsi="Arial"/>
                <w:b/>
                <w:bCs/>
                <w:color w:val="1E5631"/>
                <w:sz w:val="20"/>
                <w:szCs w:val="20"/>
              </w:rPr>
              <w:t xml:space="preserve">Resolución:</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r>
        <w:tc>
          <w:tcPr>
            <w:tcBorders>
              <w:top w:val="single" w:color="CCCCCC" w:sz="4"/>
              <w:left w:val="single" w:color="CCCCCC" w:sz="4"/>
              <w:bottom w:val="single" w:color="CCCCCC" w:sz="4"/>
              <w:right w:val="single" w:color="CCCCCC" w:sz="4"/>
            </w:tcBorders>
            <w:shd w:fill="F4F6F7" w:val="clear"/>
            <w:tcMar>
              <w:top w:type="dxa" w:w="100"/>
              <w:left w:type="dxa" w:w="140"/>
              <w:bottom w:type="dxa" w:w="100"/>
              <w:right w:type="dxa" w:w="140"/>
            </w:tcMar>
            <w:vAlign w:val="top"/>
          </w:tcPr>
          <w:p>
            <w:pPr>
              <w:spacing w:before="120" w:after="120"/>
            </w:pPr>
            <w:r>
              <w:rPr>
                <w:rFonts w:ascii="Arial" w:cs="Arial" w:eastAsia="Arial" w:hAnsi="Arial"/>
                <w:color w:val="0D1B2A"/>
                <w:sz w:val="22"/>
                <w:szCs w:val="22"/>
              </w:rPr>
              <w:t xml:space="preserve"/>
            </w:r>
          </w:p>
        </w:tc>
      </w:tr>
    </w:tbl>
    <w:p>
      <w:pPr>
        <w:spacing w:before="40"/>
      </w:pPr>
    </w:p>
    <w:p>
      <w:pPr>
        <w:pBdr>
          <w:bottom w:val="single" w:color="F9D923" w:sz="8" w:space="2"/>
        </w:pBdr>
        <w:spacing w:before="280" w:after="100"/>
      </w:pPr>
      <w:r>
        <w:rPr>
          <w:rFonts w:ascii="Arial" w:cs="Arial" w:eastAsia="Arial" w:hAnsi="Arial"/>
          <w:b/>
          <w:bCs/>
          <w:color w:val="1E5631"/>
          <w:sz w:val="26"/>
          <w:szCs w:val="26"/>
        </w:rPr>
        <w:t xml:space="preserve">2.2  Tarea Post-Clase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5631" w:sz="4"/>
              <w:left w:val="single" w:color="1E5631" w:sz="4"/>
              <w:bottom w:val="single" w:color="1E5631" w:sz="4"/>
              <w:right w:val="single" w:color="1E5631" w:sz="4"/>
            </w:tcBorders>
            <w:shd w:fill="1E5631" w:val="clear"/>
            <w:tcMar>
              <w:top w:type="dxa" w:w="100"/>
              <w:left w:type="dxa" w:w="140"/>
              <w:bottom w:type="dxa" w:w="100"/>
              <w:right w:type="dxa" w:w="140"/>
            </w:tcMar>
            <w:vAlign w:val="top"/>
          </w:tcPr>
          <w:p>
            <w:pPr>
              <w:spacing w:before="70" w:after="70"/>
              <w:jc w:val="center"/>
            </w:pPr>
            <w:r>
              <w:rPr>
                <w:rFonts w:ascii="Arial" w:cs="Arial" w:eastAsia="Arial" w:hAnsi="Arial"/>
                <w:b/>
                <w:bCs/>
                <w:color w:val="FFFFFF"/>
                <w:sz w:val="20"/>
                <w:szCs w:val="20"/>
              </w:rPr>
              <w:t xml:space="preserve">📌  TAREA — SUBIR EN GOOGLE CLASSROOM ANTES DE LA CLASE 3</w:t>
            </w:r>
          </w:p>
        </w:tc>
      </w:tr>
      <w:tr>
        <w:tc>
          <w:tcPr>
            <w:tcBorders>
              <w:top w:val="single" w:color="1E5631" w:sz="4"/>
              <w:left w:val="single" w:color="1E5631" w:sz="4"/>
              <w:bottom w:val="single" w:color="1E5631" w:sz="4"/>
              <w:right w:val="single" w:color="1E5631" w:sz="4"/>
            </w:tcBorders>
            <w:shd w:fill="D4EDDA" w:val="clear"/>
            <w:tcMar>
              <w:top w:type="dxa" w:w="100"/>
              <w:left w:type="dxa" w:w="140"/>
              <w:bottom w:type="dxa" w:w="100"/>
              <w:right w:type="dxa" w:w="140"/>
            </w:tcMar>
            <w:vAlign w:val="top"/>
          </w:tcPr>
          <w:p>
            <w:pPr>
              <w:spacing w:before="60" w:after="85"/>
              <w:jc w:val="both"/>
            </w:pPr>
            <w:r>
              <w:rPr>
                <w:rFonts w:ascii="Arial" w:cs="Arial" w:eastAsia="Arial" w:hAnsi="Arial"/>
                <w:color w:val="0D1B2A"/>
                <w:sz w:val="22"/>
                <w:szCs w:val="22"/>
              </w:rPr>
              <w:t xml:space="preserve">Descargue del portal del Ministerio de Hacienda la Cuenta General del Ejercicio Fiscal del último año disponible.</w:t>
            </w:r>
          </w:p>
          <w:p>
            <w:pPr>
              <w:pStyle w:val="ListParagraph"/>
              <w:numPr>
                <w:ilvl w:val="0"/>
                <w:numId w:val="2"/>
              </w:numPr>
              <w:spacing w:before="45" w:after="45"/>
            </w:pPr>
            <w:r>
              <w:rPr>
                <w:rFonts w:ascii="Arial" w:cs="Arial" w:eastAsia="Arial" w:hAnsi="Arial"/>
                <w:color w:val="0D1B2A"/>
                <w:sz w:val="22"/>
                <w:szCs w:val="22"/>
              </w:rPr>
              <w:t xml:space="preserve">Identifique los 5 activos de mayor valor en el Estado de Situación Patrimonial. ¿Están correctamente depreciados?</w:t>
            </w:r>
          </w:p>
          <w:p>
            <w:pPr>
              <w:pStyle w:val="ListParagraph"/>
              <w:numPr>
                <w:ilvl w:val="0"/>
                <w:numId w:val="2"/>
              </w:numPr>
              <w:spacing w:before="45" w:after="45"/>
            </w:pPr>
            <w:r>
              <w:rPr>
                <w:rFonts w:ascii="Arial" w:cs="Arial" w:eastAsia="Arial" w:hAnsi="Arial"/>
                <w:color w:val="0D1B2A"/>
                <w:sz w:val="22"/>
                <w:szCs w:val="22"/>
              </w:rPr>
              <w:t xml:space="preserve">Encuentre el Estado de Rendimiento Financiero: ¿Hubo superávit o déficit? ¿Cuánto? ¿A qué se debe?</w:t>
            </w:r>
          </w:p>
          <w:p>
            <w:pPr>
              <w:pStyle w:val="ListParagraph"/>
              <w:numPr>
                <w:ilvl w:val="0"/>
                <w:numId w:val="2"/>
              </w:numPr>
              <w:spacing w:before="45" w:after="45"/>
            </w:pPr>
            <w:r>
              <w:rPr>
                <w:rFonts w:ascii="Arial" w:cs="Arial" w:eastAsia="Arial" w:hAnsi="Arial"/>
                <w:color w:val="0D1B2A"/>
                <w:sz w:val="22"/>
                <w:szCs w:val="22"/>
              </w:rPr>
              <w:t xml:space="preserve">Busque si el informe incluye información sobre pasivos contingentes (deudas judiciales, garantías). ¿Qué encontró?</w:t>
            </w:r>
          </w:p>
          <w:p>
            <w:pPr>
              <w:pStyle w:val="ListParagraph"/>
              <w:numPr>
                <w:ilvl w:val="0"/>
                <w:numId w:val="2"/>
              </w:numPr>
              <w:spacing w:before="45" w:after="45"/>
            </w:pPr>
            <w:r>
              <w:rPr>
                <w:rFonts w:ascii="Arial" w:cs="Arial" w:eastAsia="Arial" w:hAnsi="Arial"/>
                <w:color w:val="0D1B2A"/>
                <w:sz w:val="22"/>
                <w:szCs w:val="22"/>
              </w:rPr>
              <w:t xml:space="preserve">Reflexión: ¿Qué le cambiaría a ese informe para que sea más útil para un ciudadano no especialista?</w:t>
            </w:r>
          </w:p>
        </w:tc>
      </w:tr>
    </w:tbl>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60"/>
      <w:jc w:val="right"/>
    </w:pPr>
    <w:r>
      <w:rPr>
        <w:rFonts w:ascii="Arial" w:cs="Arial" w:eastAsia="Arial" w:hAnsi="Arial"/>
        <w:color w:val="0D1B2A"/>
        <w:sz w:val="16"/>
        <w:szCs w:val="16"/>
      </w:rPr>
      <w:t xml:space="preserve">Maestría en Adm. y Gestión Pública  |  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0D1B2A"/>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9D923" w:sz="6" w:space="1"/>
      </w:pBdr>
      <w:spacing w:after="70"/>
    </w:pPr>
    <w:r>
      <w:rPr>
        <w:rFonts w:ascii="Arial" w:cs="Arial" w:eastAsia="Arial" w:hAnsi="Arial"/>
        <w:b/>
        <w:bCs/>
        <w:color w:val="F9D923"/>
        <w:sz w:val="16"/>
        <w:szCs w:val="16"/>
      </w:rPr>
      <w:t xml:space="preserve">M-AGP04  |  Contabilidad Pública  |  CLASE 2 — ESTADOS FINANCIEROS Y NICSP</w:t>
    </w:r>
    <w:r>
      <w:rPr>
        <w:rFonts w:ascii="Arial" w:cs="Arial" w:eastAsia="Arial" w:hAnsi="Arial"/>
        <w:color w:val="0D1B2A"/>
        <w:sz w:val="16"/>
        <w:szCs w:val="16"/>
      </w:rPr>
      <w:t xml:space="preserve">                                 </w:t>
    </w:r>
    <w:r>
      <w:rPr>
        <w:rFonts w:ascii="Arial" w:cs="Arial" w:eastAsia="Arial" w:hAnsi="Arial"/>
        <w:color w:val="1E5631"/>
        <w:sz w:val="16"/>
        <w:szCs w:val="16"/>
      </w:rPr>
      <w:t xml:space="preserve">Instituto Superior Centuria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2026-03-12T16:22:32.818Z</dcterms:created>
  <dcterms:modified xsi:type="dcterms:W3CDTF">2026-03-12T16:22:32.819Z</dcterms:modified>
</cp:coreProperties>
</file>

<file path=docProps/custom.xml><?xml version="1.0" encoding="utf-8"?>
<Properties xmlns="http://schemas.openxmlformats.org/officeDocument/2006/custom-properties" xmlns:vt="http://schemas.openxmlformats.org/officeDocument/2006/docPropsVTypes"/>
</file>