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C1A4A" w:sz="4"/>
              <w:left w:val="single" w:color="5C1A4A" w:sz="4"/>
              <w:bottom w:val="single" w:color="5C1A4A" w:sz="4"/>
              <w:right w:val="single" w:color="5C1A4A" w:sz="4"/>
            </w:tcBorders>
            <w:shd w:fill="FAF0F5" w:val="clear"/>
            <w:tcMar>
              <w:top w:type="dxa" w:w="100"/>
              <w:left w:type="dxa" w:w="140"/>
              <w:bottom w:type="dxa" w:w="100"/>
              <w:right w:type="dxa" w:w="140"/>
            </w:tcMar>
            <w:vAlign w:val="top"/>
          </w:tcPr>
          <w:p>
            <w:pPr>
              <w:spacing w:before="50" w:after="70"/>
              <w:jc w:val="center"/>
            </w:pPr>
            <w:r>
              <w:rPr>
                <w:rFonts w:ascii="Arial" w:cs="Arial" w:eastAsia="Arial" w:hAnsi="Arial"/>
                <w:b/>
                <w:bCs/>
                <w:color w:val="5C1A4A"/>
                <w:sz w:val="22"/>
                <w:szCs w:val="22"/>
              </w:rPr>
              <w:t xml:space="preserve">MAESTRÍA EN ADMINISTRACIÓN Y GESTIÓN PÚBLICA</w:t>
            </w:r>
          </w:p>
          <w:p>
            <w:pPr>
              <w:spacing w:before="50" w:after="70"/>
              <w:jc w:val="center"/>
            </w:pPr>
            <w:r>
              <w:rPr>
                <w:rFonts w:ascii="Arial" w:cs="Arial" w:eastAsia="Arial" w:hAnsi="Arial"/>
                <w:i/>
                <w:iCs/>
                <w:color w:val="566573"/>
                <w:sz w:val="19"/>
                <w:szCs w:val="19"/>
              </w:rPr>
              <w:t xml:space="preserve">Introducción a la Contabilidad Pública  ·  M-AGP04</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50" w:after="70"/>
              <w:jc w:val="center"/>
            </w:pPr>
            <w:r>
              <w:rPr>
                <w:rFonts w:ascii="Arial" w:cs="Arial" w:eastAsia="Arial" w:hAnsi="Arial"/>
                <w:b/>
                <w:bCs/>
                <w:color w:val="FFFFFF"/>
                <w:sz w:val="64"/>
                <w:szCs w:val="64"/>
              </w:rPr>
              <w:t xml:space="preserve">CLASE  3</w:t>
            </w:r>
          </w:p>
          <w:p>
            <w:pPr>
              <w:spacing w:before="50" w:after="70"/>
              <w:jc w:val="center"/>
            </w:pPr>
            <w:r>
              <w:rPr>
                <w:rFonts w:ascii="Arial" w:cs="Arial" w:eastAsia="Arial" w:hAnsi="Arial"/>
                <w:b/>
                <w:bCs/>
                <w:color w:val="E8A0BF"/>
                <w:sz w:val="26"/>
                <w:szCs w:val="26"/>
              </w:rPr>
              <w:t xml:space="preserve">GESTIÓN PÚBLICA Y SIAF</w:t>
            </w:r>
          </w:p>
          <w:p>
            <w:pPr>
              <w:spacing w:before="50" w:after="70"/>
              <w:jc w:val="center"/>
            </w:pPr>
            <w:r>
              <w:rPr>
                <w:rFonts w:ascii="Arial" w:cs="Arial" w:eastAsia="Arial" w:hAnsi="Arial"/>
                <w:b/>
                <w:bCs/>
                <w:color w:val="FFFFFF"/>
                <w:sz w:val="22"/>
                <w:szCs w:val="22"/>
              </w:rPr>
              <w:t xml:space="preserve">Modernización del Estado y Sistema Integrado</w:t>
            </w:r>
          </w:p>
          <w:p>
            <w:pPr>
              <w:spacing w:before="30"/>
            </w:pPr>
          </w:p>
          <w:p>
            <w:pPr>
              <w:spacing w:before="50" w:after="70"/>
              <w:jc w:val="center"/>
            </w:pPr>
            <w:r>
              <w:rPr>
                <w:rFonts w:ascii="Arial" w:cs="Arial" w:eastAsia="Arial" w:hAnsi="Arial"/>
                <w:i/>
                <w:iCs/>
                <w:color w:val="E8A0BF"/>
                <w:sz w:val="20"/>
                <w:szCs w:val="20"/>
              </w:rPr>
              <w:t xml:space="preserve">Unidades IV y V  ·  3 horas sincrónicas</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Borders>
              <w:top w:val="single" w:color="5C1A4A" w:sz="4"/>
              <w:left w:val="single" w:color="5C1A4A" w:sz="4"/>
              <w:bottom w:val="single" w:color="5C1A4A" w:sz="4"/>
              <w:right w:val="single" w:color="5C1A4A" w:sz="4"/>
            </w:tcBorders>
            <w:shd w:fill="F5E6F0" w:val="clear"/>
            <w:tcMar>
              <w:top w:type="dxa" w:w="100"/>
              <w:left w:type="dxa" w:w="140"/>
              <w:bottom w:type="dxa" w:w="100"/>
              <w:right w:type="dxa" w:w="140"/>
            </w:tcMar>
            <w:vAlign w:val="center"/>
          </w:tcPr>
          <w:p>
            <w:pPr>
              <w:spacing w:before="60" w:after="85"/>
              <w:jc w:val="both"/>
            </w:pPr>
            <w:r>
              <w:rPr>
                <w:rFonts w:ascii="Arial" w:cs="Arial" w:eastAsia="Arial" w:hAnsi="Arial"/>
                <w:b/>
                <w:bCs/>
                <w:color w:val="5C1A4A"/>
                <w:sz w:val="21"/>
                <w:szCs w:val="21"/>
              </w:rPr>
              <w:t xml:space="preserve">Contiene:</w:t>
            </w:r>
          </w:p>
        </w:tc>
        <w:tc>
          <w:tcPr>
            <w:tcBorders>
              <w:top w:val="single" w:color="5C1A4A" w:sz="4"/>
              <w:left w:val="single" w:color="5C1A4A" w:sz="4"/>
              <w:bottom w:val="single" w:color="5C1A4A" w:sz="4"/>
              <w:right w:val="single" w:color="5C1A4A" w:sz="4"/>
            </w:tcBorders>
            <w:tcMar>
              <w:top w:type="dxa" w:w="100"/>
              <w:left w:type="dxa" w:w="140"/>
              <w:bottom w:type="dxa" w:w="100"/>
              <w:right w:type="dxa" w:w="140"/>
            </w:tcMar>
            <w:vAlign w:val="top"/>
          </w:tcPr>
          <w:p>
            <w:pPr>
              <w:spacing w:before="60" w:after="85"/>
              <w:jc w:val="both"/>
            </w:pPr>
            <w:r>
              <w:rPr>
                <w:rFonts w:ascii="Arial" w:cs="Arial" w:eastAsia="Arial" w:hAnsi="Arial"/>
                <w:color w:val="0D1B2A"/>
                <w:sz w:val="22"/>
                <w:szCs w:val="22"/>
              </w:rPr>
              <w:t xml:space="preserve">Teoría magistral · Ejemplos ilustrativos · Ejercicios resueltos · Ejercicios para el alumno</w:t>
            </w:r>
          </w:p>
        </w:tc>
      </w:tr>
      <w:tr>
        <w:tc>
          <w:tcPr>
            <w:tcBorders>
              <w:top w:val="single" w:color="5C1A4A" w:sz="4"/>
              <w:left w:val="single" w:color="5C1A4A" w:sz="4"/>
              <w:bottom w:val="single" w:color="5C1A4A" w:sz="4"/>
              <w:right w:val="single" w:color="5C1A4A" w:sz="4"/>
            </w:tcBorders>
            <w:shd w:fill="F5E6F0" w:val="clear"/>
            <w:tcMar>
              <w:top w:type="dxa" w:w="100"/>
              <w:left w:type="dxa" w:w="140"/>
              <w:bottom w:type="dxa" w:w="100"/>
              <w:right w:type="dxa" w:w="140"/>
            </w:tcMar>
            <w:vAlign w:val="center"/>
          </w:tcPr>
          <w:p>
            <w:pPr>
              <w:spacing w:before="60" w:after="85"/>
              <w:jc w:val="both"/>
            </w:pPr>
            <w:r>
              <w:rPr>
                <w:rFonts w:ascii="Arial" w:cs="Arial" w:eastAsia="Arial" w:hAnsi="Arial"/>
                <w:b/>
                <w:bCs/>
                <w:color w:val="5C1A4A"/>
                <w:sz w:val="21"/>
                <w:szCs w:val="21"/>
              </w:rPr>
              <w:t xml:space="preserve">Estudiante:</w:t>
            </w:r>
          </w:p>
        </w:tc>
        <w:tc>
          <w:tcPr>
            <w:tcBorders>
              <w:top w:val="single" w:color="5C1A4A" w:sz="4"/>
              <w:left w:val="single" w:color="5C1A4A" w:sz="4"/>
              <w:bottom w:val="single" w:color="5C1A4A" w:sz="4"/>
              <w:right w:val="single" w:color="5C1A4A" w:sz="4"/>
            </w:tcBorders>
            <w:tcMar>
              <w:top w:type="dxa" w:w="100"/>
              <w:left w:type="dxa" w:w="140"/>
              <w:bottom w:type="dxa" w:w="100"/>
              <w:right w:type="dxa" w:w="140"/>
            </w:tcMar>
            <w:vAlign w:val="top"/>
          </w:tcPr>
          <w:p>
            <w:pPr>
              <w:spacing w:before="60" w:after="85"/>
              <w:jc w:val="both"/>
            </w:pPr>
            <w:r>
              <w:rPr>
                <w:rFonts w:ascii="Arial" w:cs="Arial" w:eastAsia="Arial" w:hAnsi="Arial"/>
                <w:color w:val="0D1B2A"/>
                <w:sz w:val="22"/>
                <w:szCs w:val="22"/>
              </w:rPr>
              <w:t xml:space="preserve">_______________________________________________</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110" w:after="110"/>
              <w:jc w:val="center"/>
            </w:pPr>
            <w:r>
              <w:rPr>
                <w:rFonts w:ascii="Arial" w:cs="Arial" w:eastAsia="Arial" w:hAnsi="Arial"/>
                <w:b/>
                <w:bCs/>
                <w:color w:val="FFFFFF"/>
                <w:sz w:val="30"/>
                <w:szCs w:val="30"/>
              </w:rPr>
              <w:t xml:space="preserve">📖  BLOQUE 1  —  GESTIÓN PÚBLICA Y MODERNIZACIÓN DEL ESTADO</w:t>
            </w:r>
          </w:p>
        </w:tc>
      </w:tr>
    </w:tbl>
    <w:p>
      <w:pPr>
        <w:spacing w:before="80"/>
      </w:pPr>
    </w:p>
    <w:p>
      <w:pPr>
        <w:pBdr>
          <w:bottom w:val="single" w:color="E8A0BF" w:sz="8" w:space="2"/>
        </w:pBdr>
        <w:spacing w:before="280" w:after="100"/>
      </w:pPr>
      <w:r>
        <w:rPr>
          <w:rFonts w:ascii="Arial" w:cs="Arial" w:eastAsia="Arial" w:hAnsi="Arial"/>
          <w:b/>
          <w:bCs/>
          <w:color w:val="5C1A4A"/>
          <w:sz w:val="26"/>
          <w:szCs w:val="26"/>
        </w:rPr>
        <w:t xml:space="preserve">1.1  Evolución de los modelos de administración pública</w:t>
      </w:r>
    </w:p>
    <w:p>
      <w:pPr>
        <w:spacing w:before="60" w:after="85"/>
        <w:jc w:val="both"/>
      </w:pPr>
      <w:r>
        <w:rPr>
          <w:rFonts w:ascii="Arial" w:cs="Arial" w:eastAsia="Arial" w:hAnsi="Arial"/>
          <w:color w:val="0D1B2A"/>
          <w:sz w:val="22"/>
          <w:szCs w:val="22"/>
        </w:rPr>
        <w:t xml:space="preserve">Para entender cómo funciona hoy la gestión pública en Paraguay — y especialmente cómo se relaciona con la Contabilidad Pública — necesitamos hacer un recorrido por los tres grandes modelos de administración pública que el mundo ha experimentado en los últimos 150 años. Este no es un paseo histórico por curiosidad: cada modelo dejó huellas en las instituciones paraguayas que aún hoy condicionan la forma en que se gestiona y se registra el dinero público.</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226"/>
      </w:tblGrid>
      <w:tr>
        <w:tc>
          <w:tcPr>
            <w:tcW w:type="dxa" w:w="1800"/>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Modelo</w:t>
            </w:r>
          </w:p>
        </w:tc>
        <w:tc>
          <w:tcPr>
            <w:tcW w:type="dxa" w:w="1200"/>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Período</w:t>
            </w:r>
          </w:p>
        </w:tc>
        <w:tc>
          <w:tcPr>
            <w:tcW w:type="dxa" w:w="2800"/>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Principio central</w:t>
            </w:r>
          </w:p>
        </w:tc>
        <w:tc>
          <w:tcPr>
            <w:tcW w:type="dxa" w:w="3226"/>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¿Qué herencia dejó en Paraguay?</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5C1A4A"/>
                <w:sz w:val="19"/>
                <w:szCs w:val="19"/>
              </w:rPr>
              <w:t xml:space="preserve">Administración Pública Clásica (Weber)</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1880-1970</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El Estado funciona como una máquina burocrática: normas rígidas, jerarquía formal, funcionarios permanentes, separación de lo público y lo privado.</w:t>
            </w:r>
          </w:p>
        </w:tc>
        <w:tc>
          <w:tcPr>
            <w:tcW w:type="dxa" w:w="3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La cultura del 'se hace así porque siempre se hizo así'. Los procedimientos lentos, la tramitología excesiva y la resistencia al cambio tienen raíz weberiana.</w:t>
            </w:r>
          </w:p>
        </w:tc>
      </w:tr>
      <w:tr>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5C1A4A"/>
                <w:sz w:val="19"/>
                <w:szCs w:val="19"/>
              </w:rPr>
              <w:t xml:space="preserve">Nueva Gestión Pública (NGP)</w:t>
            </w:r>
          </w:p>
        </w:tc>
        <w:tc>
          <w:tcPr>
            <w:tcW w:type="dxa" w:w="1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1980-2010</w:t>
            </w:r>
          </w:p>
        </w:tc>
        <w:tc>
          <w:tcPr>
            <w:tcW w:type="dxa" w:w="2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El Estado debe gestionar como una empresa eficiente: resultados medibles, competencia, descentralización, orientación al ciudadano-cliente.</w:t>
            </w:r>
          </w:p>
        </w:tc>
        <w:tc>
          <w:tcPr>
            <w:tcW w:type="dxa" w:w="32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La Ley 1535/99, el SIAF, las compras públicas electrónicas (DNCP), la DGEEC como productora de datos y el énfasis en indicadores de desempeño son herencia de la NGP.</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5C1A4A"/>
                <w:sz w:val="19"/>
                <w:szCs w:val="19"/>
              </w:rPr>
              <w:t xml:space="preserve">Gobernanza Pública</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2000-presente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El Estado no puede gobernar solo — necesita redes de colaboración con ciudadanos, sector privado y sociedad civil. El objetivo es el bien común compartido.</w:t>
            </w:r>
          </w:p>
        </w:tc>
        <w:tc>
          <w:tcPr>
            <w:tcW w:type="dxa" w:w="3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El Gobierno Abierto, los portales de transparencia, los mecanismos de control ciudadano (CONACOM, audiencias públicas) y la participación ciudadana en el presupuesto son expresiones de gobernanza.</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E8A0BF" w:sz="4"/>
              <w:left w:val="single" w:color="E8A0BF" w:sz="4"/>
              <w:bottom w:val="single" w:color="E8A0BF" w:sz="4"/>
              <w:right w:val="single" w:color="E8A0BF" w:sz="4"/>
            </w:tcBorders>
            <w:shd w:fill="FFFACD" w:val="clear"/>
            <w:tcMar>
              <w:top w:type="dxa" w:w="100"/>
              <w:left w:type="dxa" w:w="140"/>
              <w:bottom w:type="dxa" w:w="100"/>
              <w:right w:type="dxa" w:w="140"/>
            </w:tcMar>
            <w:vAlign w:val="center"/>
          </w:tcPr>
          <w:p>
            <w:pPr>
              <w:spacing w:before="50" w:after="70"/>
              <w:jc w:val="center"/>
            </w:pPr>
            <w:r>
              <w:rPr>
                <w:rFonts w:ascii="Arial" w:cs="Arial" w:eastAsia="Arial" w:hAnsi="Arial"/>
                <w:b/>
                <w:bCs/>
                <w:color w:val="0D1B2A"/>
                <w:sz w:val="28"/>
                <w:szCs w:val="28"/>
              </w:rPr>
              <w:t xml:space="preserve">💡</w:t>
            </w:r>
          </w:p>
        </w:tc>
        <w:tc>
          <w:tcPr>
            <w:tcBorders>
              <w:top w:val="single" w:color="E8A0BF" w:sz="4"/>
              <w:left w:val="single" w:color="E8A0BF" w:sz="4"/>
              <w:bottom w:val="single" w:color="E8A0BF" w:sz="4"/>
              <w:right w:val="single" w:color="E8A0BF" w:sz="4"/>
            </w:tcBorders>
            <w:shd w:fill="FFFACD" w:val="clear"/>
            <w:tcMar>
              <w:top w:type="dxa" w:w="100"/>
              <w:left w:type="dxa" w:w="140"/>
              <w:bottom w:type="dxa" w:w="100"/>
              <w:right w:type="dxa" w:w="140"/>
            </w:tcMar>
            <w:vAlign w:val="top"/>
          </w:tcPr>
          <w:p>
            <w:pPr>
              <w:spacing w:before="80" w:after="80"/>
              <w:jc w:val="both"/>
            </w:pPr>
            <w:r>
              <w:rPr>
                <w:rFonts w:ascii="Arial" w:cs="Arial" w:eastAsia="Arial" w:hAnsi="Arial"/>
                <w:color w:val="0D1B2A"/>
                <w:sz w:val="21"/>
                <w:szCs w:val="21"/>
              </w:rPr>
              <w:t xml:space="preserve">REFLEXIÓN CLAVE: Paraguay tiene instituciones que pertenecen simultáneamente a los tres modelos. El SIAF es Nueva Gestión Pública pura. Pero el proceso para acceder a él todavía tiene procedimientos weberianos de hace 30 años. Y los portales de transparencia son gobernanza, pero muchos funcionarios los actualizan a regañadientes. Esta 'mezcla' es el principal desafío de modernización del Estado paraguayo.</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0"/>
                <w:szCs w:val="20"/>
              </w:rPr>
              <w:t xml:space="preserve">✏️  EJEMPLO 1  —  Cómo los tres modelos conviven en una sola institución — Caso ANDE</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La ANDE (Administración Nacional de Electricidad) es un ejemplo perfecto de los tres modelos conviviendo: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MODELO WEBERIANO: ANDE es un monopolio estatal con una estructura jerárquica rígida, estatuto del empleado público, sindicatos fuertes y procedimientos administrativos muy formales que cambian lentamente.</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NUEVA GESTIÓN PÚBLICA: ANDE usa el SIAF para gestionar su presupuesto, publica sus estados financieros anualmente, tiene metas de cobertura eléctrica medibles y rinde cuentas al MHCP sobre la ejecución de sus fondos.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GOBERNANZA: ANDE tiene una ventanilla de atención al cliente, portal web, redes sociales, y en algunos casos ha consultado a comunidades antes de instalar nuevas líneas de transmisión. Sin embargo, la participación ciudadana real en sus decisiones estratégicas sigue siendo limitada.</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Implicancia contable: Cada modelo genera demandas distintas sobre el sistema contable de ANDE. El modelo weberiano exige cumplimiento normativo estricto. La NGP exige indicadores de desempeño financiero. La gobernanza exige información accesible al ciudadano. El contador público de ANDE debe saber responder a los tres.</w:t>
            </w:r>
          </w:p>
        </w:tc>
      </w:tr>
    </w:tbl>
    <w:p>
      <w:pPr>
        <w:spacing w:before="80"/>
      </w:pPr>
    </w:p>
    <w:p>
      <w:pPr>
        <w:pBdr>
          <w:bottom w:val="single" w:color="E8A0BF" w:sz="8" w:space="2"/>
        </w:pBdr>
        <w:spacing w:before="280" w:after="100"/>
      </w:pPr>
      <w:r>
        <w:rPr>
          <w:rFonts w:ascii="Arial" w:cs="Arial" w:eastAsia="Arial" w:hAnsi="Arial"/>
          <w:b/>
          <w:bCs/>
          <w:color w:val="5C1A4A"/>
          <w:sz w:val="26"/>
          <w:szCs w:val="26"/>
        </w:rPr>
        <w:t xml:space="preserve">1.2  El Proceso Administrativo en las Entidades del Sector Público</w:t>
      </w:r>
    </w:p>
    <w:p>
      <w:pPr>
        <w:spacing w:before="60" w:after="85"/>
        <w:jc w:val="both"/>
      </w:pPr>
      <w:r>
        <w:rPr>
          <w:rFonts w:ascii="Arial" w:cs="Arial" w:eastAsia="Arial" w:hAnsi="Arial"/>
          <w:color w:val="0D1B2A"/>
          <w:sz w:val="22"/>
          <w:szCs w:val="22"/>
        </w:rPr>
        <w:t xml:space="preserve">Las cuatro funciones del proceso administrativo (planificar, organizar, dirigir y controlar) existen en toda organización — pública o privada. Pero en el sector público tienen características propias que las hacen más complejas y las conectan directamente con la Contabilidad Pública:</w:t>
      </w:r>
    </w:p>
    <w:p>
      <w:pPr>
        <w:spacing w:before="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226"/>
      </w:tblGrid>
      <w:tr>
        <w:tc>
          <w:tcPr>
            <w:tcW w:type="dxa" w:w="1200"/>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Función</w:t>
            </w:r>
          </w:p>
        </w:tc>
        <w:tc>
          <w:tcPr>
            <w:tcW w:type="dxa" w:w="3600"/>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¿Qué significa en el sector público?</w:t>
            </w:r>
          </w:p>
        </w:tc>
        <w:tc>
          <w:tcPr>
            <w:tcW w:type="dxa" w:w="4226"/>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Conexión con la Contabilidad Pública</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5C1A4A"/>
                <w:sz w:val="19"/>
                <w:szCs w:val="19"/>
              </w:rPr>
              <w:t xml:space="preserve">PLANIFICAR</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Formular el Plan Estratégico Institucional (PEI) y el anteproyecto de presupuesto que se presentará al MHCP para el año siguiente.</w:t>
            </w:r>
          </w:p>
        </w:tc>
        <w:tc>
          <w:tcPr>
            <w:tcW w:type="dxa" w:w="4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El plan y el presupuesto son la base de los registros contables futuros. Sin plan, la contabilidad no tiene parámetro de comparación.</w:t>
            </w:r>
          </w:p>
        </w:tc>
      </w:tr>
      <w:tr>
        <w:tc>
          <w:tcPr>
            <w:tcW w:type="dxa" w:w="1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5C1A4A"/>
                <w:sz w:val="19"/>
                <w:szCs w:val="19"/>
              </w:rPr>
              <w:t xml:space="preserve">ORGANIZAR</w:t>
            </w:r>
          </w:p>
        </w:tc>
        <w:tc>
          <w:tcPr>
            <w:tcW w:type="dxa" w:w="3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Diseñar la estructura del SAF (Servicio Administrativo Financiero): Dirección de Presupuesto, Dirección de Contabilidad, Dirección de Tesorería, Dirección de Patrimonio.</w:t>
            </w:r>
          </w:p>
        </w:tc>
        <w:tc>
          <w:tcPr>
            <w:tcW w:type="dxa" w:w="42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El SAF es la unidad que produce la información contable. Su organización determina la calidad y oportunidad de los estados financieros.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5C1A4A"/>
                <w:sz w:val="19"/>
                <w:szCs w:val="19"/>
              </w:rPr>
              <w:t xml:space="preserve">DIRIGIR</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Tomar decisiones de gestión durante el año: modificaciones presupuestarias, ampliaciones, reprogramaciones, reasignaciones de fondos.</w:t>
            </w:r>
          </w:p>
        </w:tc>
        <w:tc>
          <w:tcPr>
            <w:tcW w:type="dxa" w:w="42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Cada decisión de gestión genera un registro contable. Un buen director necesita leer los estados financieros, no solo delegarlos al contador.</w:t>
            </w:r>
          </w:p>
        </w:tc>
      </w:tr>
      <w:tr>
        <w:tc>
          <w:tcPr>
            <w:tcW w:type="dxa" w:w="12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5C1A4A"/>
                <w:sz w:val="19"/>
                <w:szCs w:val="19"/>
              </w:rPr>
              <w:t xml:space="preserve">CONTROLAR</w:t>
            </w:r>
          </w:p>
        </w:tc>
        <w:tc>
          <w:tcPr>
            <w:tcW w:type="dxa" w:w="36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Evaluar si lo ejecutado coincide con lo planificado. Auditoría interna, informes de seguimiento, indicadores de desempeño.</w:t>
            </w:r>
          </w:p>
        </w:tc>
        <w:tc>
          <w:tcPr>
            <w:tcW w:type="dxa" w:w="42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El control se hace leyendo los estados financieros y comparándolos con el presupuesto. Sin contabilidad, no hay control posible.</w:t>
            </w:r>
          </w:p>
        </w:tc>
      </w:tr>
    </w:tbl>
    <w:p>
      <w:pPr>
        <w:spacing w:before="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110" w:after="110"/>
              <w:jc w:val="center"/>
            </w:pPr>
            <w:r>
              <w:rPr>
                <w:rFonts w:ascii="Arial" w:cs="Arial" w:eastAsia="Arial" w:hAnsi="Arial"/>
                <w:b/>
                <w:bCs/>
                <w:color w:val="FFFFFF"/>
                <w:sz w:val="30"/>
                <w:szCs w:val="30"/>
              </w:rPr>
              <w:t xml:space="preserve">📖  BLOQUE 2  —  EL SISTEMA INTEGRADO DE ADMINISTRACIÓN FINANCIERA (SIAF)</w:t>
            </w:r>
          </w:p>
        </w:tc>
      </w:tr>
    </w:tbl>
    <w:p>
      <w:pPr>
        <w:spacing w:before="80"/>
      </w:pPr>
    </w:p>
    <w:p>
      <w:pPr>
        <w:pBdr>
          <w:bottom w:val="single" w:color="E8A0BF" w:sz="8" w:space="2"/>
        </w:pBdr>
        <w:spacing w:before="280" w:after="100"/>
      </w:pPr>
      <w:r>
        <w:rPr>
          <w:rFonts w:ascii="Arial" w:cs="Arial" w:eastAsia="Arial" w:hAnsi="Arial"/>
          <w:b/>
          <w:bCs/>
          <w:color w:val="5C1A4A"/>
          <w:sz w:val="26"/>
          <w:szCs w:val="26"/>
        </w:rPr>
        <w:t xml:space="preserve">2.1  ¿Qué es el SIAF y por qué cambió todo?</w:t>
      </w:r>
    </w:p>
    <w:p>
      <w:pPr>
        <w:spacing w:before="60" w:after="85"/>
        <w:jc w:val="both"/>
      </w:pPr>
      <w:r>
        <w:rPr>
          <w:rFonts w:ascii="Arial" w:cs="Arial" w:eastAsia="Arial" w:hAnsi="Arial"/>
          <w:color w:val="0D1B2A"/>
          <w:sz w:val="22"/>
          <w:szCs w:val="22"/>
        </w:rPr>
        <w:t xml:space="preserve">Antes de la Ley 1535/99 y la implementación del SIAF, el Estado paraguayo tenía un problema grave: cada Ministerio llevaba sus propias cuentas en sistemas separados e incompatibles. El Ministerio de Educación usaba un sistema. El de Salud, otro. Las Gobernaciones, uno diferente. El resultado era caótico: al cierre del año, nadie podía saber con certeza cuánto había gastado realmente el Estado paraguayo en total. Tampoco se podía controlar en tiempo real quién estaba gastando de más o de menos.</w:t>
      </w:r>
    </w:p>
    <w:p>
      <w:pPr>
        <w:spacing w:before="60" w:after="85"/>
        <w:jc w:val="both"/>
      </w:pPr>
      <w:r>
        <w:rPr>
          <w:rFonts w:ascii="Arial" w:cs="Arial" w:eastAsia="Arial" w:hAnsi="Arial"/>
          <w:color w:val="0D1B2A"/>
          <w:sz w:val="22"/>
          <w:szCs w:val="22"/>
        </w:rPr>
        <w:t xml:space="preserve">El SIAF (Sistema Integrado de Administración Financiera) cambió radicalmente ese panorama. Es una plataforma tecnológica integrada que centraliza el registro de todas las transacciones financieras del Estado en tiempo real. Cuando un funcionario del Ministerio de Salud en Concepción registra el pago de una factura de medicamentos, ese registro queda disponible de inmediato en el MHCP en Asunción.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70" w:after="70"/>
            </w:pPr>
            <w:r>
              <w:rPr>
                <w:rFonts w:ascii="Arial" w:cs="Arial" w:eastAsia="Arial" w:hAnsi="Arial"/>
                <w:b/>
                <w:bCs/>
                <w:color w:val="FFFFFF"/>
                <w:sz w:val="21"/>
                <w:szCs w:val="21"/>
              </w:rPr>
              <w:t xml:space="preserve">📌  EL SIAF EN POCAS PALABRAS</w:t>
            </w:r>
          </w:p>
        </w:tc>
      </w:tr>
      <w:tr>
        <w:tc>
          <w:tcPr>
            <w:tcBorders>
              <w:top w:val="single" w:color="5C1A4A" w:sz="4"/>
              <w:left w:val="single" w:color="5C1A4A" w:sz="4"/>
              <w:bottom w:val="single" w:color="5C1A4A" w:sz="4"/>
              <w:right w:val="single" w:color="5C1A4A" w:sz="4"/>
            </w:tcBorders>
            <w:shd w:fill="FAF0F5" w:val="clear"/>
            <w:tcMar>
              <w:top w:type="dxa" w:w="100"/>
              <w:left w:type="dxa" w:w="140"/>
              <w:bottom w:type="dxa" w:w="100"/>
              <w:right w:type="dxa" w:w="140"/>
            </w:tcMar>
            <w:vAlign w:val="top"/>
          </w:tcPr>
          <w:p>
            <w:pPr>
              <w:spacing w:before="100" w:after="100"/>
              <w:jc w:val="both"/>
            </w:pPr>
            <w:r>
              <w:rPr>
                <w:rFonts w:ascii="Arial" w:cs="Arial" w:eastAsia="Arial" w:hAnsi="Arial"/>
                <w:color w:val="0D1B2A"/>
                <w:sz w:val="22"/>
                <w:szCs w:val="22"/>
              </w:rPr>
              <w:t xml:space="preserve">El SIAF es el sistema nervioso central de las finanzas públicas paraguayas. Es el software donde se registran, controlan y reportan TODAS las transacciones económicas del Estado: presupuesto, compras, pagos, ingresos, deuda, inversión. Sin SIAF no hay ejecución presupuestaria, no hay pago a proveedores, no hay contabilidad pública confiable.</w:t>
            </w:r>
          </w:p>
        </w:tc>
      </w:tr>
    </w:tbl>
    <w:p>
      <w:pPr>
        <w:spacing w:before="50"/>
      </w:pPr>
    </w:p>
    <w:p>
      <w:pPr>
        <w:pBdr>
          <w:left w:val="single" w:color="E8A0BF" w:sz="16" w:space="8"/>
        </w:pBdr>
        <w:spacing w:before="200" w:after="70"/>
        <w:ind w:left="160"/>
      </w:pPr>
      <w:r>
        <w:rPr>
          <w:rFonts w:ascii="Arial" w:cs="Arial" w:eastAsia="Arial" w:hAnsi="Arial"/>
          <w:b/>
          <w:bCs/>
          <w:color w:val="5C1A4A"/>
          <w:sz w:val="23"/>
          <w:szCs w:val="23"/>
        </w:rPr>
        <w:t xml:space="preserve">Los 5 módulos del SIAF y qué hace cada uno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826"/>
        <w:gridCol w:w="2500"/>
      </w:tblGrid>
      <w:tr>
        <w:tc>
          <w:tcPr>
            <w:tcW w:type="dxa" w:w="900"/>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Módulo</w:t>
            </w:r>
          </w:p>
        </w:tc>
        <w:tc>
          <w:tcPr>
            <w:tcW w:type="dxa" w:w="1800"/>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Nombre completo</w:t>
            </w:r>
          </w:p>
        </w:tc>
        <w:tc>
          <w:tcPr>
            <w:tcW w:type="dxa" w:w="3826"/>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Función principal</w:t>
            </w:r>
          </w:p>
        </w:tc>
        <w:tc>
          <w:tcPr>
            <w:tcW w:type="dxa" w:w="2500"/>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¿Quién lo usa más?</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5C1A4A"/>
                <w:sz w:val="19"/>
                <w:szCs w:val="19"/>
              </w:rPr>
              <w:t xml:space="preserve">SICO</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Sistema de Contabilidad</w:t>
            </w:r>
          </w:p>
        </w:tc>
        <w:tc>
          <w:tcPr>
            <w:tcW w:type="dxa" w:w="3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Registra contablemente todas las transacciones. Produce los estados financieros. Es el corazón contable del SIAF.</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Contadores de los SAF de cada institución, DGCP.</w:t>
            </w:r>
          </w:p>
        </w:tc>
      </w:tr>
      <w:tr>
        <w:tc>
          <w:tcPr>
            <w:tcW w:type="dxa" w:w="9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5C1A4A"/>
                <w:sz w:val="19"/>
                <w:szCs w:val="19"/>
              </w:rPr>
              <w:t xml:space="preserve">SIPRE</w:t>
            </w:r>
          </w:p>
        </w:tc>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Sistema de Presupuesto</w:t>
            </w:r>
          </w:p>
        </w:tc>
        <w:tc>
          <w:tcPr>
            <w:tcW w:type="dxa" w:w="38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Gestiona la formulación, aprobación, modificación y control de ejecución del Presupuesto General de la Nación.</w:t>
            </w:r>
          </w:p>
        </w:tc>
        <w:tc>
          <w:tcPr>
            <w:tcW w:type="dxa" w:w="25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Directores de Presupuesto, DGPN del MHCP.</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5C1A4A"/>
                <w:sz w:val="19"/>
                <w:szCs w:val="19"/>
              </w:rPr>
              <w:t xml:space="preserve">SITE</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Sistema de Tesorería</w:t>
            </w:r>
          </w:p>
        </w:tc>
        <w:tc>
          <w:tcPr>
            <w:tcW w:type="dxa" w:w="3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Gestiona los flujos de efectivo del Estado: ingresos tributarios, pagos a proveedores, transferencias entre cuentas del Tesoro.</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Tesorería General de la República, tesoreros de SAF.</w:t>
            </w:r>
          </w:p>
        </w:tc>
      </w:tr>
      <w:tr>
        <w:tc>
          <w:tcPr>
            <w:tcW w:type="dxa" w:w="9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5C1A4A"/>
                <w:sz w:val="19"/>
                <w:szCs w:val="19"/>
              </w:rPr>
              <w:t xml:space="preserve">SIDEUDA</w:t>
            </w:r>
          </w:p>
        </w:tc>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Sistema de Deuda Pública</w:t>
            </w:r>
          </w:p>
        </w:tc>
        <w:tc>
          <w:tcPr>
            <w:tcW w:type="dxa" w:w="38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Registra y gestiona la deuda externa e interna del Estado paraguayo: desembolsos, amortizaciones, intereses, saldo vigente.</w:t>
            </w:r>
          </w:p>
        </w:tc>
        <w:tc>
          <w:tcPr>
            <w:tcW w:type="dxa" w:w="25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DGCP — Crédito Público, Subsecretaría de Estado de Economía.</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5C1A4A"/>
                <w:sz w:val="19"/>
                <w:szCs w:val="19"/>
              </w:rPr>
              <w:t xml:space="preserve">SIINV</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Sistema de Inversión Pública</w:t>
            </w:r>
          </w:p>
        </w:tc>
        <w:tc>
          <w:tcPr>
            <w:tcW w:type="dxa" w:w="3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Gestiona el ciclo de los proyectos de inversión pública: preinversión, ejecución, seguimiento físico y financiero.</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SNIP (Secretaría Técnica de Planificación), MOPC, MEC.</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0"/>
                <w:szCs w:val="20"/>
              </w:rPr>
              <w:t xml:space="preserve">✏️  EJEMPLO 2  —  Seguir una factura desde la empresa hasta el pago — paso a paso en el SIAF</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EMPRESA CONSTRUCTORA SA gana una licitación del MOPC para construir un puente por Gs. 85.000 millones. Veamos cómo cada evento pasa por el SIAF:</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PASO 1 — DNCP: La licitación se publica y adjudica en el portal de la DNCP (Dirección Nacional de Contrataciones Públicas). El SIAF se alimenta automáticamente del resultado de la adjudicación.</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PASO 2 — SIPRE (Compromiso): El SAF del MOPC registra el compromiso de Gs. 85.000 MM en el módulo de presupuesto. Esos fondos quedan 'reservados' — no pueden usarse para otra cosa.</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PASO 3 — SICO (Devengamiento): Al recibir el 1er certificado de avance de obra (Gs. 12.000 MM), el contador del SAF registra el devengamiento en el módulo contable. Aparece en el pasivo: 'Cuentas por pagar — obras en ejecución'.</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PASO 4 — SITE (Pago): El Ministerio remite la solicitud de pago a la Tesorería General. El SITE procesa la transferencia bancaria a la cuenta de la empresa constructora.</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PASO 5 — SICO (Cierre): El registro contable se completa: sale el efectivo del activo, se cancela la deuda del pasivo. Todo queda en el sistema para la Cuenta General del Ejercicio.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TIEMPO TOTAL del proceso: En el SIAF moderno puede completarse en 5-10 días hábiles. Antes del SIAF, el mismo proceso podía tardar 3-6 meses, con riesgo de errores, duplicaciones y pérdida de documentos.</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0"/>
                <w:szCs w:val="20"/>
              </w:rPr>
              <w:t xml:space="preserve">✅  EJERCICIO RESUELTO 1  —  Análisis de ejecución presupuestaria en el SIAF</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DATOS: El Ministerio de Obras Públicas tiene al 30 de junio (mitad del año) la siguiente situación presupuestaria en el módulo SIPRE del SIAF:</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Crédito aprobado PGN: Gs. 1.200.000 MM · Modificaciones aprobadas: +Gs. 80.000 MM · Crédito vigente total: Gs. 1.280.000 MM</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Comprometido: Gs. 640.000 MM · Devengado: Gs. 420.000 MM · Pagado: Gs. 380.000 MM</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ANÁLISIS PASO 1 — % de ejecución (sobre crédito vigente):</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Comprometido: 640.000 / 1.280.000 = 50,0% — Normal para mitad del año</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Devengado: 420.000 / 1.280.000 = 32,8% — Bajo — solo 32,8% con obra recibida en 6 meses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Pagado: 380.000 / 1.280.000 = 29,7% — Hay Gs. 40.000 MM devengados pero no pagados aún</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ANÁLISIS PASO 2 — Brecha comprometido vs. devengado: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Comprometido – Devengado = 640.000 – 420.000 = Gs. 220.000 MM comprometidos pero sin obra recibida</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Esto significa que hay contratos firmados y fondos reservados, pero las obras contratadas aún no se ejecutaron o no fueron certificadas.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ANÁLISIS PASO 3 — Riesgo de subejecución:</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Si a junio solo se devengó 32,8%, para llegar al 100% en diciembre se necesitaría devengar el 67,2% restante en solo 6 meses. Esto es posible pero demanda un ritmo de obra muy acelerado en el segundo semestre.</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CONCLUSIÓN: Este tipo de análisis es lo que la DGCP, el MHCP y la propia institución deben hacer mensualmente. El SIAF lo permite en tiempo real. Un buen contador público no solo registra — analiza y alerta.</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241C" w:sz="4"/>
              <w:left w:val="single" w:color="7B241C" w:sz="4"/>
              <w:bottom w:val="single" w:color="7B241C" w:sz="4"/>
              <w:right w:val="single" w:color="7B241C" w:sz="4"/>
            </w:tcBorders>
            <w:shd w:fill="7B241C"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1"/>
                <w:szCs w:val="21"/>
              </w:rPr>
              <w:t xml:space="preserve">📝  EJERCICIO 1</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Análisis SIAF aplicado a su institución:</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Acceda al portal de transparencia del MHCP (www.hacienda.gov.py → Transparencia → Ejecución Presupuestaria).</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Busque los datos de ejecución presupuestaria de SU institución (o una que elija) al cierre del último año disponible.</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a) ¿Cuál fue el crédito vigente total? ¿Cuánto se devengó? ¿Cuánto se pagó?</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b) ¿Qué rubro tuvo la ejecución más baja? ¿Y la más alta?</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c) ¿Hubo economías (diferencia entre crédito vigente y devengado)? ¿A qué las atribuye?</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d) ¿Qué le diría al Director de la institución si le pidiera un análisis de esta ejecución en 3 minutos?</w:t>
            </w:r>
          </w:p>
        </w:tc>
      </w:tr>
      <w:tr>
        <w:tc>
          <w:tcPr>
            <w:tcBorders>
              <w:top w:val="single" w:color="5C1A4A" w:sz="4"/>
              <w:left w:val="single" w:color="5C1A4A" w:sz="4"/>
              <w:bottom w:val="single" w:color="5C1A4A" w:sz="4"/>
              <w:right w:val="single" w:color="5C1A4A" w:sz="4"/>
            </w:tcBorders>
            <w:shd w:fill="F5E6F0" w:val="clear"/>
            <w:tcMar>
              <w:top w:type="dxa" w:w="100"/>
              <w:left w:type="dxa" w:w="140"/>
              <w:bottom w:type="dxa" w:w="100"/>
              <w:right w:type="dxa" w:w="140"/>
            </w:tcMar>
            <w:vAlign w:val="top"/>
          </w:tcPr>
          <w:p>
            <w:pPr>
              <w:spacing w:before="55" w:after="55"/>
            </w:pPr>
            <w:r>
              <w:rPr>
                <w:rFonts w:ascii="Arial" w:cs="Arial" w:eastAsia="Arial" w:hAnsi="Arial"/>
                <w:b/>
                <w:bCs/>
                <w:color w:val="5C1A4A"/>
                <w:sz w:val="20"/>
                <w:szCs w:val="20"/>
              </w:rPr>
              <w:t xml:space="preserve">Resolución:</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241C" w:sz="4"/>
              <w:left w:val="single" w:color="7B241C" w:sz="4"/>
              <w:bottom w:val="single" w:color="7B241C" w:sz="4"/>
              <w:right w:val="single" w:color="7B241C" w:sz="4"/>
            </w:tcBorders>
            <w:shd w:fill="7B241C"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1"/>
                <w:szCs w:val="21"/>
              </w:rPr>
              <w:t xml:space="preserve">📝  EJERCICIO 2</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Ejercicio de módulos SIAF — asigne cada operación al módulo correcto:</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Para cada operación, indique en qué módulo del SIAF se registra principalmente:</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Operación A: La Municipalidad de San Lorenzo recibe el desembolso de un préstamo del CAF por USD 15 millones para ampliar el sistema de agua potable.</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Operación B: El Ministerio de Educación paga los sueldos de 45.000 docentes correspondientes al mes de octubre.</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Operación C: El SNIP aprueba la viabilidad técnica de un proyecto de construcción de un hospital regional en Concepción.</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Operación D: La SET deposita en la cuenta del Tesoro los Gs. 850.000 MM recaudados durante el mes de noviembre.</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Operación E: El MHCP modifica el presupuesto del Ministerio de Defensa aumentando en Gs. 12.000 MM la partida de combustibles.</w:t>
            </w:r>
          </w:p>
        </w:tc>
      </w:tr>
      <w:tr>
        <w:tc>
          <w:tcPr>
            <w:tcBorders>
              <w:top w:val="single" w:color="5C1A4A" w:sz="4"/>
              <w:left w:val="single" w:color="5C1A4A" w:sz="4"/>
              <w:bottom w:val="single" w:color="5C1A4A" w:sz="4"/>
              <w:right w:val="single" w:color="5C1A4A" w:sz="4"/>
            </w:tcBorders>
            <w:shd w:fill="F5E6F0" w:val="clear"/>
            <w:tcMar>
              <w:top w:type="dxa" w:w="100"/>
              <w:left w:type="dxa" w:w="140"/>
              <w:bottom w:type="dxa" w:w="100"/>
              <w:right w:type="dxa" w:w="140"/>
            </w:tcMar>
            <w:vAlign w:val="top"/>
          </w:tcPr>
          <w:p>
            <w:pPr>
              <w:spacing w:before="55" w:after="55"/>
            </w:pPr>
            <w:r>
              <w:rPr>
                <w:rFonts w:ascii="Arial" w:cs="Arial" w:eastAsia="Arial" w:hAnsi="Arial"/>
                <w:b/>
                <w:bCs/>
                <w:color w:val="5C1A4A"/>
                <w:sz w:val="20"/>
                <w:szCs w:val="20"/>
              </w:rPr>
              <w:t xml:space="preserve">Resolución:</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bl>
    <w:p>
      <w:pPr>
        <w:spacing w:before="40"/>
      </w:pPr>
    </w:p>
    <w:p>
      <w:pPr>
        <w:pBdr>
          <w:bottom w:val="single" w:color="E8A0BF" w:sz="8" w:space="2"/>
        </w:pBdr>
        <w:spacing w:before="280" w:after="100"/>
      </w:pPr>
      <w:r>
        <w:rPr>
          <w:rFonts w:ascii="Arial" w:cs="Arial" w:eastAsia="Arial" w:hAnsi="Arial"/>
          <w:b/>
          <w:bCs/>
          <w:color w:val="5C1A4A"/>
          <w:sz w:val="26"/>
          <w:szCs w:val="26"/>
        </w:rPr>
        <w:t xml:space="preserve">2.2  Tarea Post-Clase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C1A4A" w:sz="4"/>
              <w:left w:val="single" w:color="5C1A4A" w:sz="4"/>
              <w:bottom w:val="single" w:color="5C1A4A" w:sz="4"/>
              <w:right w:val="single" w:color="5C1A4A" w:sz="4"/>
            </w:tcBorders>
            <w:shd w:fill="5C1A4A" w:val="clear"/>
            <w:tcMar>
              <w:top w:type="dxa" w:w="100"/>
              <w:left w:type="dxa" w:w="140"/>
              <w:bottom w:type="dxa" w:w="100"/>
              <w:right w:type="dxa" w:w="140"/>
            </w:tcMar>
            <w:vAlign w:val="top"/>
          </w:tcPr>
          <w:p>
            <w:pPr>
              <w:spacing w:before="70" w:after="70"/>
              <w:jc w:val="center"/>
            </w:pPr>
            <w:r>
              <w:rPr>
                <w:rFonts w:ascii="Arial" w:cs="Arial" w:eastAsia="Arial" w:hAnsi="Arial"/>
                <w:b/>
                <w:bCs/>
                <w:color w:val="FFFFFF"/>
                <w:sz w:val="20"/>
                <w:szCs w:val="20"/>
              </w:rPr>
              <w:t xml:space="preserve">📌  TAREA — SUBIR EN CLASSROOM ANTES DE LA CLASE 4</w:t>
            </w:r>
          </w:p>
        </w:tc>
      </w:tr>
      <w:tr>
        <w:tc>
          <w:tcPr>
            <w:tcBorders>
              <w:top w:val="single" w:color="5C1A4A" w:sz="4"/>
              <w:left w:val="single" w:color="5C1A4A" w:sz="4"/>
              <w:bottom w:val="single" w:color="5C1A4A" w:sz="4"/>
              <w:right w:val="single" w:color="5C1A4A" w:sz="4"/>
            </w:tcBorders>
            <w:shd w:fill="FAF0F5" w:val="clear"/>
            <w:tcMar>
              <w:top w:type="dxa" w:w="100"/>
              <w:left w:type="dxa" w:w="140"/>
              <w:bottom w:type="dxa" w:w="100"/>
              <w:right w:type="dxa" w:w="140"/>
            </w:tcMar>
            <w:vAlign w:val="top"/>
          </w:tcPr>
          <w:p>
            <w:pPr>
              <w:spacing w:before="60" w:after="85"/>
              <w:jc w:val="both"/>
            </w:pPr>
            <w:r>
              <w:rPr>
                <w:rFonts w:ascii="Arial" w:cs="Arial" w:eastAsia="Arial" w:hAnsi="Arial"/>
                <w:color w:val="0D1B2A"/>
                <w:sz w:val="22"/>
                <w:szCs w:val="22"/>
              </w:rPr>
              <w:t xml:space="preserve">Descargue el Decreto 8127/00 y lea los artículos 31-80 (módulos del SIAF).</w:t>
            </w:r>
          </w:p>
          <w:p>
            <w:pPr>
              <w:pStyle w:val="ListParagraph"/>
              <w:numPr>
                <w:ilvl w:val="0"/>
                <w:numId w:val="2"/>
              </w:numPr>
              <w:spacing w:before="45" w:after="45"/>
            </w:pPr>
            <w:r>
              <w:rPr>
                <w:rFonts w:ascii="Arial" w:cs="Arial" w:eastAsia="Arial" w:hAnsi="Arial"/>
                <w:color w:val="0D1B2A"/>
                <w:sz w:val="22"/>
                <w:szCs w:val="22"/>
              </w:rPr>
              <w:t xml:space="preserve">Identifique los 3 artículos que más impactan directamente en el trabajo contable de su institución. Explique por qué.</w:t>
            </w:r>
          </w:p>
          <w:p>
            <w:pPr>
              <w:pStyle w:val="ListParagraph"/>
              <w:numPr>
                <w:ilvl w:val="0"/>
                <w:numId w:val="2"/>
              </w:numPr>
              <w:spacing w:before="45" w:after="45"/>
            </w:pPr>
            <w:r>
              <w:rPr>
                <w:rFonts w:ascii="Arial" w:cs="Arial" w:eastAsia="Arial" w:hAnsi="Arial"/>
                <w:color w:val="0D1B2A"/>
                <w:sz w:val="22"/>
                <w:szCs w:val="22"/>
              </w:rPr>
              <w:t xml:space="preserve">Entreviste (informal, 5 preguntas) a un compañero de trabajo que use el SIAF directamente. ¿Cuál es el mayor problema que encuentra? ¿Qué mejoraría?</w:t>
            </w:r>
          </w:p>
          <w:p>
            <w:pPr>
              <w:pStyle w:val="ListParagraph"/>
              <w:numPr>
                <w:ilvl w:val="0"/>
                <w:numId w:val="2"/>
              </w:numPr>
              <w:spacing w:before="45" w:after="45"/>
            </w:pPr>
            <w:r>
              <w:rPr>
                <w:rFonts w:ascii="Arial" w:cs="Arial" w:eastAsia="Arial" w:hAnsi="Arial"/>
                <w:color w:val="0D1B2A"/>
                <w:sz w:val="22"/>
                <w:szCs w:val="22"/>
              </w:rPr>
              <w:t xml:space="preserve">Inicie la redacción de la SECCIÓN V de su TFI (descripción de la institución que analizará).</w:t>
            </w:r>
          </w:p>
        </w:tc>
      </w:tr>
    </w:tbl>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jc w:val="right"/>
    </w:pPr>
    <w:r>
      <w:rPr>
        <w:rFonts w:ascii="Arial" w:cs="Arial" w:eastAsia="Arial" w:hAnsi="Arial"/>
        <w:color w:val="0D1B2A"/>
        <w:sz w:val="16"/>
        <w:szCs w:val="16"/>
      </w:rPr>
      <w:t xml:space="preserve">Maestría en Adm. y Gestión Pública  |  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color w:val="0D1B2A"/>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BF" w:sz="6" w:space="1"/>
      </w:pBdr>
      <w:spacing w:after="70"/>
    </w:pPr>
    <w:r>
      <w:rPr>
        <w:rFonts w:ascii="Arial" w:cs="Arial" w:eastAsia="Arial" w:hAnsi="Arial"/>
        <w:b/>
        <w:bCs/>
        <w:color w:val="E8A0BF"/>
        <w:sz w:val="16"/>
        <w:szCs w:val="16"/>
      </w:rPr>
      <w:t xml:space="preserve">M-AGP04  |  Contabilidad Pública  |  CLASE 3 — GESTIÓN PÚBLICA Y SIAF</w:t>
    </w:r>
    <w:r>
      <w:rPr>
        <w:rFonts w:ascii="Arial" w:cs="Arial" w:eastAsia="Arial" w:hAnsi="Arial"/>
        <w:color w:val="0D1B2A"/>
        <w:sz w:val="16"/>
        <w:szCs w:val="16"/>
      </w:rPr>
      <w:t xml:space="preserve">                                 </w:t>
    </w:r>
    <w:r>
      <w:rPr>
        <w:rFonts w:ascii="Arial" w:cs="Arial" w:eastAsia="Arial" w:hAnsi="Arial"/>
        <w:color w:val="5C1A4A"/>
        <w:sz w:val="16"/>
        <w:szCs w:val="16"/>
      </w:rPr>
      <w:t xml:space="preserve">Instituto Superior Centuria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2026-03-12T16:22:33.180Z</dcterms:created>
  <dcterms:modified xsi:type="dcterms:W3CDTF">2026-03-12T16:22:33.180Z</dcterms:modified>
</cp:coreProperties>
</file>

<file path=docProps/custom.xml><?xml version="1.0" encoding="utf-8"?>
<Properties xmlns="http://schemas.openxmlformats.org/officeDocument/2006/custom-properties" xmlns:vt="http://schemas.openxmlformats.org/officeDocument/2006/docPropsVTypes"/>
</file>