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MEDICAL DIAGNOSIS AND CLINICAL TRIAGE SYSTEM</w:t>
      </w:r>
    </w:p>
    <w:p>
      <w:pPr>
        <w:spacing w:before="0" w:after="40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Student Project Documentation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1. PROJECT OVERVIEW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The Medical Diagnosis and Clinical Triage System is an interactive web-based expert system designed to assist healthcare professionals and medical students in diagnosing common diseases. The system uses a logical reasoning engine powered by medical facts and rules to evaluate reported symptoms, ask targeted follow-up questions, and recommend appropriate confirmation tests and treatments.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The main goal of this project is to provide a structured, accurate, and easy-to-use digital triage tool that helps streamline preliminary medical evaluation and reduces diagnostic errors in primary care settings.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2. PROBLEM STATEMENT AND OBJECTIVES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In primary healthcare settings, triage clinicians and medical officers frequently evaluate patients presenting with overlapping non-specific symptoms such as fever, headache, fatigue, body pain, and nausea. Manual evaluation can occasionally lead to missed secondary symptoms or delays in ordering definitive laboratory investigations.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The objectives of this project are: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1: </w:t>
      </w:r>
      <w:r>
        <w:rPr>
          <w:rFonts w:ascii="Arial" w:hAnsi="Arial"/>
          <w:b w:val="0"/>
          <w:i w:val="0"/>
          <w:color w:val="000000"/>
          <w:sz w:val="22"/>
        </w:rPr>
        <w:t>Accept initial presenting symptoms and risk factors entered by a clinician.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2: </w:t>
      </w:r>
      <w:r>
        <w:rPr>
          <w:rFonts w:ascii="Arial" w:hAnsi="Arial"/>
          <w:b w:val="0"/>
          <w:i w:val="0"/>
          <w:color w:val="000000"/>
          <w:sz w:val="22"/>
        </w:rPr>
        <w:t>Identify the top candidate diseases matching those reported symptoms.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3: </w:t>
      </w:r>
      <w:r>
        <w:rPr>
          <w:rFonts w:ascii="Arial" w:hAnsi="Arial"/>
          <w:b w:val="0"/>
          <w:i w:val="0"/>
          <w:color w:val="000000"/>
          <w:sz w:val="22"/>
        </w:rPr>
        <w:t>Present targeted follow-up questions for candidate diseases in sequential order.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4: </w:t>
      </w:r>
      <w:r>
        <w:rPr>
          <w:rFonts w:ascii="Arial" w:hAnsi="Arial"/>
          <w:b w:val="0"/>
          <w:i w:val="0"/>
          <w:color w:val="000000"/>
          <w:sz w:val="22"/>
        </w:rPr>
        <w:t>Generate ranked differential diagnoses with ICD-10 codes, confidence scores, recommended tests, and treatment advice.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5: </w:t>
      </w:r>
      <w:r>
        <w:rPr>
          <w:rFonts w:ascii="Arial" w:hAnsi="Arial"/>
          <w:b w:val="0"/>
          <w:i w:val="0"/>
          <w:color w:val="000000"/>
          <w:sz w:val="22"/>
        </w:rPr>
        <w:t>Allow clinicians to record laboratory confirmation test results (positive or negative) to reach a definitive clinical conclusion.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3. KEY SYSTEM FEATURES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3.1 Clinician Authentication and Local Storage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Account Registration: </w:t>
      </w:r>
      <w:r>
        <w:rPr>
          <w:rFonts w:ascii="Arial" w:hAnsi="Arial"/>
          <w:b w:val="0"/>
          <w:i w:val="0"/>
          <w:color w:val="000000"/>
          <w:sz w:val="22"/>
        </w:rPr>
        <w:t>Enables new clinicians to register by providing their full name, medical email, facility name, and password.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Account Sign In: </w:t>
      </w:r>
      <w:r>
        <w:rPr>
          <w:rFonts w:ascii="Arial" w:hAnsi="Arial"/>
          <w:b w:val="0"/>
          <w:i w:val="0"/>
          <w:color w:val="000000"/>
          <w:sz w:val="22"/>
        </w:rPr>
        <w:t>Allows registered clinicians to log in securely. Account details are saved in browser storage to ensure credentials persist across page reloads.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Password Reset Request: </w:t>
      </w:r>
      <w:r>
        <w:rPr>
          <w:rFonts w:ascii="Arial" w:hAnsi="Arial"/>
          <w:b w:val="0"/>
          <w:i w:val="0"/>
          <w:color w:val="000000"/>
          <w:sz w:val="22"/>
        </w:rPr>
        <w:t>Includes a password reset modal for clinicians needing credential recovery.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3.2 Clinician Workspace and Sidebar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Workspace Navigation: </w:t>
      </w:r>
      <w:r>
        <w:rPr>
          <w:rFonts w:ascii="Arial" w:hAnsi="Arial"/>
          <w:b w:val="0"/>
          <w:i w:val="0"/>
          <w:color w:val="000000"/>
          <w:sz w:val="22"/>
        </w:rPr>
        <w:t>Features a clean header displaying system health status and active engine connectivity.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Collapsible Sidebar: </w:t>
      </w:r>
      <w:r>
        <w:rPr>
          <w:rFonts w:ascii="Arial" w:hAnsi="Arial"/>
          <w:b w:val="0"/>
          <w:i w:val="0"/>
          <w:color w:val="000000"/>
          <w:sz w:val="22"/>
        </w:rPr>
        <w:t>Displays clinician profile information including name, email, role, and facility. The sidebar can be collapsed to icon view and includes a Sign Out button.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3.3 Phase 1: Symptom Selection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Primary Symptom Selection: </w:t>
      </w:r>
      <w:r>
        <w:rPr>
          <w:rFonts w:ascii="Arial" w:hAnsi="Arial"/>
          <w:b w:val="0"/>
          <w:i w:val="0"/>
          <w:color w:val="000000"/>
          <w:sz w:val="22"/>
        </w:rPr>
        <w:t>Organizes common symptoms into categories including Systemic, Respiratory, Gastrointestinal, Neurological, Dermatological, and Cardiovascular.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Risk Factors: </w:t>
      </w:r>
      <w:r>
        <w:rPr>
          <w:rFonts w:ascii="Arial" w:hAnsi="Arial"/>
          <w:b w:val="0"/>
          <w:i w:val="0"/>
          <w:color w:val="000000"/>
          <w:sz w:val="22"/>
        </w:rPr>
        <w:t>Allows clinicians to specify patient exposure history such as recent travel, vector exposure, or unboiled water consumption.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Custom Clinical Notes: </w:t>
      </w:r>
      <w:r>
        <w:rPr>
          <w:rFonts w:ascii="Arial" w:hAnsi="Arial"/>
          <w:b w:val="0"/>
          <w:i w:val="0"/>
          <w:color w:val="000000"/>
          <w:sz w:val="22"/>
        </w:rPr>
        <w:t>Includes a text area for entering optional unlisted symptoms or clinician notes.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3.4 Phase 2: Sequential Targeted Questioning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Sequential Investigation: </w:t>
      </w:r>
      <w:r>
        <w:rPr>
          <w:rFonts w:ascii="Arial" w:hAnsi="Arial"/>
          <w:b w:val="0"/>
          <w:i w:val="0"/>
          <w:color w:val="000000"/>
          <w:sz w:val="22"/>
        </w:rPr>
        <w:t>Queries the top candidate diseases one at a time, starting with the least likely candidate and progressing to the most likely candidate.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Binary Response Cards: </w:t>
      </w:r>
      <w:r>
        <w:rPr>
          <w:rFonts w:ascii="Arial" w:hAnsi="Arial"/>
          <w:b w:val="0"/>
          <w:i w:val="0"/>
          <w:color w:val="000000"/>
          <w:sz w:val="22"/>
        </w:rPr>
        <w:t>Presents follow-up questions as clear Yes or No options to ensure efficient data entry.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Controlled Pagination: </w:t>
      </w:r>
      <w:r>
        <w:rPr>
          <w:rFonts w:ascii="Arial" w:hAnsi="Arial"/>
          <w:b w:val="0"/>
          <w:i w:val="0"/>
          <w:color w:val="000000"/>
          <w:sz w:val="22"/>
        </w:rPr>
        <w:t>Displays at most 5 questions per page when total follow-up questions exceed 5.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3.5 Phase 3: Differential Output and Confirmation Testing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Leading Diagnosis Card: </w:t>
      </w:r>
      <w:r>
        <w:rPr>
          <w:rFonts w:ascii="Arial" w:hAnsi="Arial"/>
          <w:b w:val="0"/>
          <w:i w:val="0"/>
          <w:color w:val="000000"/>
          <w:sz w:val="22"/>
        </w:rPr>
        <w:t>Displays the primary candidate disease, category, ICD-10 code, confidence percentage, clinical description, and first-aid recommendations.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Differential List: </w:t>
      </w:r>
      <w:r>
        <w:rPr>
          <w:rFonts w:ascii="Arial" w:hAnsi="Arial"/>
          <w:b w:val="0"/>
          <w:i w:val="0"/>
          <w:color w:val="000000"/>
          <w:sz w:val="22"/>
        </w:rPr>
        <w:t>Lists remaining differential candidate conditions alongside eliminated conditions with specific reasons for elimination.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Confirmation Testing: </w:t>
      </w:r>
      <w:r>
        <w:rPr>
          <w:rFonts w:ascii="Arial" w:hAnsi="Arial"/>
          <w:b w:val="0"/>
          <w:i w:val="0"/>
          <w:color w:val="000000"/>
          <w:sz w:val="22"/>
        </w:rPr>
        <w:t>Provides Test Positive and Test Negative actions for laboratory confirmation.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Confirmed Diagnosis Mode: </w:t>
      </w:r>
      <w:r>
        <w:rPr>
          <w:rFonts w:ascii="Arial" w:hAnsi="Arial"/>
          <w:b w:val="0"/>
          <w:i w:val="0"/>
          <w:color w:val="000000"/>
          <w:sz w:val="22"/>
        </w:rPr>
        <w:t>If a test result is positive, the system locks the diagnosis, presents prescribed therapeutic medications, and instructs the clinician to cease further testing.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Ruled Out Mode: </w:t>
      </w:r>
      <w:r>
        <w:rPr>
          <w:rFonts w:ascii="Arial" w:hAnsi="Arial"/>
          <w:b w:val="0"/>
          <w:i w:val="0"/>
          <w:color w:val="000000"/>
          <w:sz w:val="22"/>
        </w:rPr>
        <w:t>If all candidate conditions test negative, the system displays a notice recommending broad-spectrum laboratory testing or specialist referral.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4. STEP-BY-STEP SYSTEM WORKFLOW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1: The clinician accesses the portal, landing on the Clinician Authentication screen, and logs in or creates an account.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2: Upon authentication, the system opens the main workspace and displays the clinician details in the sidebar.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3: The clinician selects presenting symptoms (such as High Fever, Chills, and Sweating) and initiates clinical inference.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4: The system determines candidate conditions (such as Malaria, Typhoid Fever, and Dengue Fever) and asks targeted Yes/No questions for each condition sequentially.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5: The differential diagnosis card renders the top condition along with confidence scores, recommended tests (such as Blood Smear or Widal Test), and urgency level.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Step 6: The clinician inputs the laboratory confirmation outcome: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Positive Result: </w:t>
      </w:r>
      <w:r>
        <w:rPr>
          <w:rFonts w:ascii="Arial" w:hAnsi="Arial"/>
          <w:b w:val="0"/>
          <w:i w:val="0"/>
          <w:color w:val="000000"/>
          <w:sz w:val="22"/>
        </w:rPr>
        <w:t>Confirms the diagnosis, displays indicated medication options, and finishes the case.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Negative Result: </w:t>
      </w:r>
      <w:r>
        <w:rPr>
          <w:rFonts w:ascii="Arial" w:hAnsi="Arial"/>
          <w:b w:val="0"/>
          <w:i w:val="0"/>
          <w:color w:val="000000"/>
          <w:sz w:val="22"/>
        </w:rPr>
        <w:t>Eliminates the tested condition, displays the next differential candidate, or alerts the user if all candidates are ruled out.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5. TECHNICAL ARCHITECTURE AND MODULES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5.1 Logical Reasoning Engine (Python Kanren)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Facts Module: </w:t>
      </w:r>
      <w:r>
        <w:rPr>
          <w:rFonts w:ascii="Arial" w:hAnsi="Arial"/>
          <w:b w:val="0"/>
          <w:i w:val="0"/>
          <w:color w:val="000000"/>
          <w:sz w:val="22"/>
        </w:rPr>
        <w:t>Contains structured medical data defining disease profiles, ICD-10 codes, descriptions, treatment options, and recommended tests.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Rules Module: </w:t>
      </w:r>
      <w:r>
        <w:rPr>
          <w:rFonts w:ascii="Arial" w:hAnsi="Arial"/>
          <w:b w:val="0"/>
          <w:i w:val="0"/>
          <w:color w:val="000000"/>
          <w:sz w:val="22"/>
        </w:rPr>
        <w:t>Implements relational logic rules matching patient symptom patterns against candidate disease profiles.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Questions Module: </w:t>
      </w:r>
      <w:r>
        <w:rPr>
          <w:rFonts w:ascii="Arial" w:hAnsi="Arial"/>
          <w:b w:val="0"/>
          <w:i w:val="0"/>
          <w:color w:val="000000"/>
          <w:sz w:val="22"/>
        </w:rPr>
        <w:t>Maps disease symptoms to specific clinical follow-up questions.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5.2 REST API Server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Diagnosis Endpoint: </w:t>
      </w:r>
      <w:r>
        <w:rPr>
          <w:rFonts w:ascii="Arial" w:hAnsi="Arial"/>
          <w:b w:val="0"/>
          <w:i w:val="0"/>
          <w:color w:val="000000"/>
          <w:sz w:val="22"/>
        </w:rPr>
        <w:t>Receives patient symptoms and risk factors, executes logical inference, and returns ranked diagnoses.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Questions Endpoint: </w:t>
      </w:r>
      <w:r>
        <w:rPr>
          <w:rFonts w:ascii="Arial" w:hAnsi="Arial"/>
          <w:b w:val="0"/>
          <w:i w:val="0"/>
          <w:color w:val="000000"/>
          <w:sz w:val="22"/>
        </w:rPr>
        <w:t>Returns targeted follow-up questions for identified candidate conditions.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Testing Result Endpoint: </w:t>
      </w:r>
      <w:r>
        <w:rPr>
          <w:rFonts w:ascii="Arial" w:hAnsi="Arial"/>
          <w:b w:val="0"/>
          <w:i w:val="0"/>
          <w:color w:val="000000"/>
          <w:sz w:val="22"/>
        </w:rPr>
        <w:t>Processes positive or negative lab outcomes and updates the active differential candidate pool.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3"/>
        </w:rPr>
        <w:t>5.3 Web Interface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HTML5: </w:t>
      </w:r>
      <w:r>
        <w:rPr>
          <w:rFonts w:ascii="Arial" w:hAnsi="Arial"/>
          <w:b w:val="0"/>
          <w:i w:val="0"/>
          <w:color w:val="000000"/>
          <w:sz w:val="22"/>
        </w:rPr>
        <w:t>Provides clear structural markup for authentication forms, symptom selectors, question cards, and diagnosis panels.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Vanilla CSS: </w:t>
      </w:r>
      <w:r>
        <w:rPr>
          <w:rFonts w:ascii="Arial" w:hAnsi="Arial"/>
          <w:b w:val="0"/>
          <w:i w:val="0"/>
          <w:color w:val="000000"/>
          <w:sz w:val="22"/>
        </w:rPr>
        <w:t>Implements a clean light medical design theme focusing on clear readability, good spacing, and proper font hierarchy.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JavaScript: </w:t>
      </w:r>
      <w:r>
        <w:rPr>
          <w:rFonts w:ascii="Arial" w:hAnsi="Arial"/>
          <w:b w:val="0"/>
          <w:i w:val="0"/>
          <w:color w:val="000000"/>
          <w:sz w:val="22"/>
        </w:rPr>
        <w:t>Handles UI state management, browser storage persistence, API communication, and workflow navigation.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6. VERIFICATION AND TESTING RESULTS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The project was verified through automated testing and manual execution: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Automated Python Tests: </w:t>
      </w:r>
      <w:r>
        <w:rPr>
          <w:rFonts w:ascii="Arial" w:hAnsi="Arial"/>
          <w:b w:val="0"/>
          <w:i w:val="0"/>
          <w:color w:val="000000"/>
          <w:sz w:val="22"/>
        </w:rPr>
        <w:t>Ran Python unit tests covering disease ranking, question generation, and test result resolution. All 9 unit tests passed successfully.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JavaScript Code Validation: </w:t>
      </w:r>
      <w:r>
        <w:rPr>
          <w:rFonts w:ascii="Arial" w:hAnsi="Arial"/>
          <w:b w:val="0"/>
          <w:i w:val="0"/>
          <w:color w:val="000000"/>
          <w:sz w:val="22"/>
        </w:rPr>
        <w:t>Executed Node.js syntax checks on client scripts with 0 errors.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/>
          <w:i w:val="0"/>
          <w:color w:val="000000"/>
          <w:sz w:val="22"/>
        </w:rPr>
        <w:t xml:space="preserve">Manual Flow Verification: </w:t>
      </w:r>
      <w:r>
        <w:rPr>
          <w:rFonts w:ascii="Arial" w:hAnsi="Arial"/>
          <w:b w:val="0"/>
          <w:i w:val="0"/>
          <w:color w:val="000000"/>
          <w:sz w:val="22"/>
        </w:rPr>
        <w:t>Verified user registration, account sign-in persistence, sequential disease questioning (Disease 3 to Disease 1), 5-item question pagination, and confirmation test outcomes.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00000"/>
          <w:sz w:val="26"/>
        </w:rPr>
        <w:t>7. CONCLUSION</w:t>
      </w:r>
    </w:p>
    <w:p>
      <w:pPr>
        <w:spacing w:before="0" w:after="120" w:line="300" w:lineRule="auto"/>
      </w:pPr>
      <w:r>
        <w:rPr>
          <w:rFonts w:ascii="Arial" w:hAnsi="Arial"/>
          <w:b w:val="0"/>
          <w:i w:val="0"/>
          <w:color w:val="000000"/>
          <w:sz w:val="22"/>
        </w:rPr>
        <w:t>The Medical Diagnosis and Clinical Triage System successfully combines logical reasoning with a simple, clean web interface to assist in preliminary medical evaluation. By guiding clinicians through symptom entry, targeted questioning, and test result confirmation, the application supports accurate, structured clinical decision-making.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