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23</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23 001  Accident early notification - article applicable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Articles 1 and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Article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Article 5.2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23 002  Activity or facility involved in incident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Nuclear reactor on ground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Nuclear reactor at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Nuclear reactor in 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Nuclear fuel facility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Radioactive waste management facility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Transport of nuclear fuel or radioactive waste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Storage of nuclear fuel or radioactive waste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Manufacture of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Use of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Storage of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Disposal of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Transport of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Use of radio-isotopes for power generation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23 003  Type of release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release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Release to atmosphere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Release to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Release to both atmosphere and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Expected release to atmosphere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Expected release to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Expected release to both atmosphere and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23 004  Countermeasures taken near border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countermeasures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Evacuation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Sheltering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Prophylaxis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23 005  Cause of incident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Incident State does not understand what happened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Incident State knows the cause of the incident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23 006  Incident situation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improvement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Unstable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deterioration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Improving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Deteriorating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23 007  Characteristics of release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release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Release has stopped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Release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Release is continuing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23 008  State of current release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Gaseous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Particulate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Mixture of gaseous and particulate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23 009  State of expected release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Gaseous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Particulate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Mixture of gaseous and particulate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23 016  Possibility of significant chemical toxic health effect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significant chemical toxic health effect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Significant chemical toxic health effect possible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23 018  Release behaviour over time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Release no longer occurring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Release still occurring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Release expected to increase in next six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Release expected to remain constant in next six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Release expected to decrease in next six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23 031  Possibility that plume will encounter precipitation in State in which incident occurred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Plume will not encounter rain in incident State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Plume will encounter rain in incident State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23 032  Plume will encounter change in wind direction and/or speed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significant change expected within the next six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Anticipated significant change expected within the next six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