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35</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35 000  FM and regional code 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000-099</w:t>
            </w:r>
          </w:p>
        </w:tc>
        <w:tc>
          <w:tcPr>
            <w:tcW w:type="dxa" w:w="5046"/>
          </w:tcPr>
          <w:p>
            <w:pPr>
              <w:spacing w:before="20" w:after="20"/>
            </w:pPr>
            <w:r/>
            <w:r>
              <w:rPr>
                <w:rFonts w:ascii="Verdana" w:hAnsi="Verdana"/>
                <w:b w:val="0"/>
                <w:sz w:val="16"/>
              </w:rPr>
              <w:t>International FM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100-199</w:t>
            </w:r>
          </w:p>
        </w:tc>
        <w:tc>
          <w:tcPr>
            <w:tcW w:type="dxa" w:w="5046"/>
          </w:tcPr>
          <w:p>
            <w:pPr>
              <w:spacing w:before="20" w:after="20"/>
            </w:pPr>
            <w:r/>
            <w:r>
              <w:rPr>
                <w:rFonts w:ascii="Verdana" w:hAnsi="Verdana"/>
                <w:b w:val="0"/>
                <w:sz w:val="16"/>
              </w:rPr>
              <w:t>RA I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200-299</w:t>
            </w:r>
          </w:p>
        </w:tc>
        <w:tc>
          <w:tcPr>
            <w:tcW w:type="dxa" w:w="5046"/>
          </w:tcPr>
          <w:p>
            <w:pPr>
              <w:spacing w:before="20" w:after="20"/>
            </w:pPr>
            <w:r/>
            <w:r>
              <w:rPr>
                <w:rFonts w:ascii="Verdana" w:hAnsi="Verdana"/>
                <w:b w:val="0"/>
                <w:sz w:val="16"/>
              </w:rPr>
              <w:t>RA II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300-399</w:t>
            </w:r>
          </w:p>
        </w:tc>
        <w:tc>
          <w:tcPr>
            <w:tcW w:type="dxa" w:w="5046"/>
          </w:tcPr>
          <w:p>
            <w:pPr>
              <w:spacing w:before="20" w:after="20"/>
            </w:pPr>
            <w:r/>
            <w:r>
              <w:rPr>
                <w:rFonts w:ascii="Verdana" w:hAnsi="Verdana"/>
                <w:b w:val="0"/>
                <w:sz w:val="16"/>
              </w:rPr>
              <w:t>RA III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400-499</w:t>
            </w:r>
          </w:p>
        </w:tc>
        <w:tc>
          <w:tcPr>
            <w:tcW w:type="dxa" w:w="5046"/>
          </w:tcPr>
          <w:p>
            <w:pPr>
              <w:spacing w:before="20" w:after="20"/>
            </w:pPr>
            <w:r/>
            <w:r>
              <w:rPr>
                <w:rFonts w:ascii="Verdana" w:hAnsi="Verdana"/>
                <w:b w:val="0"/>
                <w:sz w:val="16"/>
              </w:rPr>
              <w:t>RA IV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500-599</w:t>
            </w:r>
          </w:p>
        </w:tc>
        <w:tc>
          <w:tcPr>
            <w:tcW w:type="dxa" w:w="5046"/>
          </w:tcPr>
          <w:p>
            <w:pPr>
              <w:spacing w:before="20" w:after="20"/>
            </w:pPr>
            <w:r/>
            <w:r>
              <w:rPr>
                <w:rFonts w:ascii="Verdana" w:hAnsi="Verdana"/>
                <w:b w:val="0"/>
                <w:sz w:val="16"/>
              </w:rPr>
              <w:t>RA V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600-699</w:t>
            </w:r>
          </w:p>
        </w:tc>
        <w:tc>
          <w:tcPr>
            <w:tcW w:type="dxa" w:w="5046"/>
          </w:tcPr>
          <w:p>
            <w:pPr>
              <w:spacing w:before="20" w:after="20"/>
            </w:pPr>
            <w:r/>
            <w:r>
              <w:rPr>
                <w:rFonts w:ascii="Verdana" w:hAnsi="Verdana"/>
                <w:b w:val="0"/>
                <w:sz w:val="16"/>
              </w:rPr>
              <w:t>RA VI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700-799</w:t>
            </w:r>
          </w:p>
        </w:tc>
        <w:tc>
          <w:tcPr>
            <w:tcW w:type="dxa" w:w="5046"/>
          </w:tcPr>
          <w:p>
            <w:pPr>
              <w:spacing w:before="20" w:after="20"/>
            </w:pPr>
            <w:r/>
            <w:r>
              <w:rPr>
                <w:rFonts w:ascii="Verdana" w:hAnsi="Verdana"/>
                <w:b w:val="0"/>
                <w:sz w:val="16"/>
              </w:rPr>
              <w:t>Antarctic Codes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800-999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35 001  Time frame for monitoring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Real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Near-real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Non-real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35 030  Discrepancies in the availability of expected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discrepancies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Non-compliance with standard and recommended practices and procedures including those of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Catalogues of meteorological bulletins not updated in a timely manner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Incorrect routing directories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Lack of flexibility in the routing arrangements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Deficiencies in the operation of GTS centres and circuits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Loss of data or delays in relaying data on the GTS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Routing of data different from the routing provided in the plan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Various malpractices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35 031  Qualifier on monitoring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Sufficient and all of acceptable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Sufficient but partly of acceptable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Insufficient but all of acceptable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Insufficient and of unacceptable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Some messages not complete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Suspect or wrongly coded groups could not be interpreted confidently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Gross coding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Transmission sequential order not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Report completely garbled and thus discarded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Deficiencies identified and rectified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Deficiencies identified but not rectified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Deficiencies not identified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Measuring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Mutual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Temporal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Forecast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Improve system of quality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Expand training programmes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99-126</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35 032  Cause of missing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groups missing due to radio fading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groups missing due to outage of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groups missing due to outage of circuit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Non-implementation or maintenance of required RBSN density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Shortage of qualified staff to man stations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Lack of consumables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Instrument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Non-adherence to telecommunication procedures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observing programmes ceased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35 033  Observation and collection deficiencies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deficiency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Observations not made regularly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Observations not made at right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Observations made but not disseminated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Observations made and sent to incorrect users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Collection not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Collection transmitted late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Collection not transmitted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Difficulties in HF propagation and selection of suitable frequency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Difficulties in maintenance of communication equipment at remote stations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alternative arrangement for routing meteorological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100-122</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35 034  Statistical trends for availability of data (during the survey period(s))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Slight improvement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Significant improvement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Most significant improvement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Efforts required to improve night-time observations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35 035  Reason for termination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Balloon burst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 forced down by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Leaking or floating balloon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Weak or fading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Battery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Ground equipment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Signal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Radiosonde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Excessive missing data frames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Excessive missing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Excessive missing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User terminated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Sudden loss of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Tracking lost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Increasing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Invalid and/or missed data time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