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00: table entries</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0 00 001</w:t>
            </w:r>
          </w:p>
        </w:tc>
        <w:tc>
          <w:tcPr>
            <w:tcW w:type="dxa" w:w="1514"/>
          </w:tcPr>
          <w:p>
            <w:pPr>
              <w:spacing w:before="20" w:after="20"/>
            </w:pPr>
            <w:r/>
            <w:r>
              <w:rPr>
                <w:rFonts w:ascii="Verdana" w:hAnsi="Verdana"/>
                <w:b w:val="0"/>
                <w:sz w:val="16"/>
              </w:rPr>
              <w:t>Table A: entry</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0 00 002</w:t>
            </w:r>
          </w:p>
        </w:tc>
        <w:tc>
          <w:tcPr>
            <w:tcW w:type="dxa" w:w="1514"/>
          </w:tcPr>
          <w:p>
            <w:pPr>
              <w:spacing w:before="20" w:after="20"/>
            </w:pPr>
            <w:r/>
            <w:r>
              <w:rPr>
                <w:rFonts w:ascii="Verdana" w:hAnsi="Verdana"/>
                <w:b w:val="0"/>
                <w:sz w:val="16"/>
              </w:rPr>
              <w:t>Table A: data category description, line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0 00 003</w:t>
            </w:r>
          </w:p>
        </w:tc>
        <w:tc>
          <w:tcPr>
            <w:tcW w:type="dxa" w:w="1514"/>
          </w:tcPr>
          <w:p>
            <w:pPr>
              <w:spacing w:before="20" w:after="20"/>
            </w:pPr>
            <w:r/>
            <w:r>
              <w:rPr>
                <w:rFonts w:ascii="Verdana" w:hAnsi="Verdana"/>
                <w:b w:val="0"/>
                <w:sz w:val="16"/>
              </w:rPr>
              <w:t>Table A: data category description, line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0 00 004</w:t>
            </w:r>
          </w:p>
        </w:tc>
        <w:tc>
          <w:tcPr>
            <w:tcW w:type="dxa" w:w="1514"/>
          </w:tcPr>
          <w:p>
            <w:pPr>
              <w:spacing w:before="20" w:after="20"/>
            </w:pPr>
            <w:r/>
            <w:r>
              <w:rPr>
                <w:rFonts w:ascii="Verdana" w:hAnsi="Verdana"/>
                <w:b w:val="0"/>
                <w:sz w:val="16"/>
              </w:rPr>
              <w:t>BUFR/CREX Master table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98: Master tables are described in Note 2 to Section 1 of the BUFR regulations (part of the regulation entitled "Specifications of octet contents").</w:t>
            </w:r>
          </w:p>
        </w:tc>
      </w:tr>
      <w:tr>
        <w:trPr>
          <w:cantSplit/>
        </w:trPr>
        <w:tc>
          <w:tcPr>
            <w:tcW w:type="dxa" w:w="1514"/>
          </w:tcPr>
          <w:p>
            <w:pPr>
              <w:spacing w:before="20" w:after="20"/>
            </w:pPr>
            <w:r/>
            <w:r>
              <w:rPr>
                <w:rFonts w:ascii="Verdana" w:hAnsi="Verdana"/>
                <w:b w:val="0"/>
                <w:sz w:val="16"/>
              </w:rPr>
              <w:t>0 00 005</w:t>
            </w:r>
          </w:p>
        </w:tc>
        <w:tc>
          <w:tcPr>
            <w:tcW w:type="dxa" w:w="1514"/>
          </w:tcPr>
          <w:p>
            <w:pPr>
              <w:spacing w:before="20" w:after="20"/>
            </w:pPr>
            <w:r/>
            <w:r>
              <w:rPr>
                <w:rFonts w:ascii="Verdana" w:hAnsi="Verdana"/>
                <w:b w:val="0"/>
                <w:sz w:val="16"/>
              </w:rPr>
              <w:t>BUFR/CREX edition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0 00 006</w:t>
            </w:r>
          </w:p>
        </w:tc>
        <w:tc>
          <w:tcPr>
            <w:tcW w:type="dxa" w:w="1514"/>
          </w:tcPr>
          <w:p>
            <w:pPr>
              <w:spacing w:before="20" w:after="20"/>
            </w:pPr>
            <w:r/>
            <w:r>
              <w:rPr>
                <w:rFonts w:ascii="Verdana" w:hAnsi="Verdana"/>
                <w:b w:val="0"/>
                <w:sz w:val="16"/>
              </w:rPr>
              <w:t>BUFR Master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tc>
      </w:tr>
      <w:tr>
        <w:trPr>
          <w:cantSplit/>
        </w:trPr>
        <w:tc>
          <w:tcPr>
            <w:tcW w:type="dxa" w:w="1514"/>
          </w:tcPr>
          <w:p>
            <w:pPr>
              <w:spacing w:before="20" w:after="20"/>
            </w:pPr>
            <w:r/>
            <w:r>
              <w:rPr>
                <w:rFonts w:ascii="Verdana" w:hAnsi="Verdana"/>
                <w:b w:val="0"/>
                <w:sz w:val="16"/>
              </w:rPr>
              <w:t>0 00 007</w:t>
            </w:r>
          </w:p>
        </w:tc>
        <w:tc>
          <w:tcPr>
            <w:tcW w:type="dxa" w:w="1514"/>
          </w:tcPr>
          <w:p>
            <w:pPr>
              <w:spacing w:before="20" w:after="20"/>
            </w:pPr>
            <w:r/>
            <w:r>
              <w:rPr>
                <w:rFonts w:ascii="Verdana" w:hAnsi="Verdana"/>
                <w:b w:val="0"/>
                <w:sz w:val="16"/>
              </w:rPr>
              <w:t>CREX Master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r>
        <w:trPr>
          <w:cantSplit/>
        </w:trPr>
        <w:tc>
          <w:tcPr>
            <w:tcW w:type="dxa" w:w="1514"/>
          </w:tcPr>
          <w:p>
            <w:pPr>
              <w:spacing w:before="20" w:after="20"/>
            </w:pPr>
            <w:r/>
            <w:r>
              <w:rPr>
                <w:rFonts w:ascii="Verdana" w:hAnsi="Verdana"/>
                <w:b w:val="0"/>
                <w:sz w:val="16"/>
              </w:rPr>
              <w:t>0 00 008</w:t>
            </w:r>
          </w:p>
        </w:tc>
        <w:tc>
          <w:tcPr>
            <w:tcW w:type="dxa" w:w="1514"/>
          </w:tcPr>
          <w:p>
            <w:pPr>
              <w:spacing w:before="20" w:after="20"/>
            </w:pPr>
            <w:r/>
            <w:r>
              <w:rPr>
                <w:rFonts w:ascii="Verdana" w:hAnsi="Verdana"/>
                <w:b w:val="0"/>
                <w:sz w:val="16"/>
              </w:rPr>
              <w:t>BUFR Local table version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76: Within 3 07 045, 3 07 048 and 3 07 053, wind speed shall be reported in the same units as in the original TAC data and: 0 11 083 shall be set to missing, if wind speed is reported in knots or m s-1 in TAC data, 0 11 084 shall be set to missing, if wind speed is reported in km h-1 or m s-1 in TAC data.</w:t>
            </w:r>
          </w:p>
        </w:tc>
      </w:tr>
      <w:tr>
        <w:trPr>
          <w:cantSplit/>
        </w:trPr>
        <w:tc>
          <w:tcPr>
            <w:tcW w:type="dxa" w:w="1514"/>
          </w:tcPr>
          <w:p>
            <w:pPr>
              <w:spacing w:before="20" w:after="20"/>
            </w:pPr>
            <w:r/>
            <w:r>
              <w:rPr>
                <w:rFonts w:ascii="Verdana" w:hAnsi="Verdana"/>
                <w:b w:val="0"/>
                <w:sz w:val="16"/>
              </w:rPr>
              <w:t>0 00 010</w:t>
            </w:r>
          </w:p>
        </w:tc>
        <w:tc>
          <w:tcPr>
            <w:tcW w:type="dxa" w:w="1514"/>
          </w:tcPr>
          <w:p>
            <w:pPr>
              <w:spacing w:before="20" w:after="20"/>
            </w:pPr>
            <w:r/>
            <w:r>
              <w:rPr>
                <w:rFonts w:ascii="Verdana" w:hAnsi="Verdana"/>
                <w:b w:val="0"/>
                <w:sz w:val="16"/>
              </w:rPr>
              <w:t>F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0 00 011</w:t>
            </w:r>
          </w:p>
        </w:tc>
        <w:tc>
          <w:tcPr>
            <w:tcW w:type="dxa" w:w="1514"/>
          </w:tcPr>
          <w:p>
            <w:pPr>
              <w:spacing w:before="20" w:after="20"/>
            </w:pPr>
            <w:r/>
            <w:r>
              <w:rPr>
                <w:rFonts w:ascii="Verdana" w:hAnsi="Verdana"/>
                <w:b w:val="0"/>
                <w:sz w:val="16"/>
              </w:rPr>
              <w:t>X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0 00 012</w:t>
            </w:r>
          </w:p>
        </w:tc>
        <w:tc>
          <w:tcPr>
            <w:tcW w:type="dxa" w:w="1514"/>
          </w:tcPr>
          <w:p>
            <w:pPr>
              <w:spacing w:before="20" w:after="20"/>
            </w:pPr>
            <w:r/>
            <w:r>
              <w:rPr>
                <w:rFonts w:ascii="Verdana" w:hAnsi="Verdana"/>
                <w:b w:val="0"/>
                <w:sz w:val="16"/>
              </w:rPr>
              <w:t>Y descriptor to be added or defined</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0 00 013</w:t>
            </w:r>
          </w:p>
        </w:tc>
        <w:tc>
          <w:tcPr>
            <w:tcW w:type="dxa" w:w="1514"/>
          </w:tcPr>
          <w:p>
            <w:pPr>
              <w:spacing w:before="20" w:after="20"/>
            </w:pPr>
            <w:r/>
            <w:r>
              <w:rPr>
                <w:rFonts w:ascii="Verdana" w:hAnsi="Verdana"/>
                <w:b w:val="0"/>
                <w:sz w:val="16"/>
              </w:rPr>
              <w:t>Element name, line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0 00 014</w:t>
            </w:r>
          </w:p>
        </w:tc>
        <w:tc>
          <w:tcPr>
            <w:tcW w:type="dxa" w:w="1514"/>
          </w:tcPr>
          <w:p>
            <w:pPr>
              <w:spacing w:before="20" w:after="20"/>
            </w:pPr>
            <w:r/>
            <w:r>
              <w:rPr>
                <w:rFonts w:ascii="Verdana" w:hAnsi="Verdana"/>
                <w:b w:val="0"/>
                <w:sz w:val="16"/>
              </w:rPr>
              <w:t>Element name, line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0 00 015</w:t>
            </w:r>
          </w:p>
        </w:tc>
        <w:tc>
          <w:tcPr>
            <w:tcW w:type="dxa" w:w="1514"/>
          </w:tcPr>
          <w:p>
            <w:pPr>
              <w:spacing w:before="20" w:after="20"/>
            </w:pPr>
            <w:r/>
            <w:r>
              <w:rPr>
                <w:rFonts w:ascii="Verdana" w:hAnsi="Verdana"/>
                <w:b w:val="0"/>
                <w:sz w:val="16"/>
              </w:rPr>
              <w:t>Units name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0 00 016</w:t>
            </w:r>
          </w:p>
        </w:tc>
        <w:tc>
          <w:tcPr>
            <w:tcW w:type="dxa" w:w="1514"/>
          </w:tcPr>
          <w:p>
            <w:pPr>
              <w:spacing w:before="20" w:after="20"/>
            </w:pPr>
            <w:r/>
            <w:r>
              <w:rPr>
                <w:rFonts w:ascii="Verdana" w:hAnsi="Verdana"/>
                <w:b w:val="0"/>
                <w:sz w:val="16"/>
              </w:rPr>
              <w:t>Units scale sign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0 00 017</w:t>
            </w:r>
          </w:p>
        </w:tc>
        <w:tc>
          <w:tcPr>
            <w:tcW w:type="dxa" w:w="1514"/>
          </w:tcPr>
          <w:p>
            <w:pPr>
              <w:spacing w:before="20" w:after="20"/>
            </w:pPr>
            <w:r/>
            <w:r>
              <w:rPr>
                <w:rFonts w:ascii="Verdana" w:hAnsi="Verdana"/>
                <w:b w:val="0"/>
                <w:sz w:val="16"/>
              </w:rPr>
              <w:t>Units scale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0 00 018</w:t>
            </w:r>
          </w:p>
        </w:tc>
        <w:tc>
          <w:tcPr>
            <w:tcW w:type="dxa" w:w="1514"/>
          </w:tcPr>
          <w:p>
            <w:pPr>
              <w:spacing w:before="20" w:after="20"/>
            </w:pPr>
            <w:r/>
            <w:r>
              <w:rPr>
                <w:rFonts w:ascii="Verdana" w:hAnsi="Verdana"/>
                <w:b w:val="0"/>
                <w:sz w:val="16"/>
              </w:rPr>
              <w:t>Units reference sign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0 00 019</w:t>
            </w:r>
          </w:p>
        </w:tc>
        <w:tc>
          <w:tcPr>
            <w:tcW w:type="dxa" w:w="1514"/>
          </w:tcPr>
          <w:p>
            <w:pPr>
              <w:spacing w:before="20" w:after="20"/>
            </w:pPr>
            <w:r/>
            <w:r>
              <w:rPr>
                <w:rFonts w:ascii="Verdana" w:hAnsi="Verdana"/>
                <w:b w:val="0"/>
                <w:sz w:val="16"/>
              </w:rPr>
              <w:t>Units reference value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0 00 020</w:t>
            </w:r>
          </w:p>
        </w:tc>
        <w:tc>
          <w:tcPr>
            <w:tcW w:type="dxa" w:w="1514"/>
          </w:tcPr>
          <w:p>
            <w:pPr>
              <w:spacing w:before="20" w:after="20"/>
            </w:pPr>
            <w:r/>
            <w:r>
              <w:rPr>
                <w:rFonts w:ascii="Verdana" w:hAnsi="Verdana"/>
                <w:b w:val="0"/>
                <w:sz w:val="16"/>
              </w:rPr>
              <w:t>Element data width</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0 00 024</w:t>
            </w:r>
          </w:p>
        </w:tc>
        <w:tc>
          <w:tcPr>
            <w:tcW w:type="dxa" w:w="1514"/>
          </w:tcPr>
          <w:p>
            <w:pPr>
              <w:spacing w:before="20" w:after="20"/>
            </w:pPr>
            <w:r/>
            <w:r>
              <w:rPr>
                <w:rFonts w:ascii="Verdana" w:hAnsi="Verdana"/>
                <w:b w:val="0"/>
                <w:sz w:val="16"/>
              </w:rPr>
              <w:t>Code figure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0 00 025</w:t>
            </w:r>
          </w:p>
        </w:tc>
        <w:tc>
          <w:tcPr>
            <w:tcW w:type="dxa" w:w="1514"/>
          </w:tcPr>
          <w:p>
            <w:pPr>
              <w:spacing w:before="20" w:after="20"/>
            </w:pPr>
            <w:r/>
            <w:r>
              <w:rPr>
                <w:rFonts w:ascii="Verdana" w:hAnsi="Verdana"/>
                <w:b w:val="0"/>
                <w:sz w:val="16"/>
              </w:rPr>
              <w:t>Code figure meaning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0 00 026</w:t>
            </w:r>
          </w:p>
        </w:tc>
        <w:tc>
          <w:tcPr>
            <w:tcW w:type="dxa" w:w="1514"/>
          </w:tcPr>
          <w:p>
            <w:pPr>
              <w:spacing w:before="20" w:after="20"/>
            </w:pPr>
            <w:r/>
            <w:r>
              <w:rPr>
                <w:rFonts w:ascii="Verdana" w:hAnsi="Verdana"/>
                <w:b w:val="0"/>
                <w:sz w:val="16"/>
              </w:rPr>
              <w:t>Bit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0 00 027</w:t>
            </w:r>
          </w:p>
        </w:tc>
        <w:tc>
          <w:tcPr>
            <w:tcW w:type="dxa" w:w="1514"/>
          </w:tcPr>
          <w:p>
            <w:pPr>
              <w:spacing w:before="20" w:after="20"/>
            </w:pPr>
            <w:r/>
            <w:r>
              <w:rPr>
                <w:rFonts w:ascii="Verdana" w:hAnsi="Verdana"/>
                <w:b w:val="0"/>
                <w:sz w:val="16"/>
              </w:rPr>
              <w:t>Bit number meaning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0 00 030</w:t>
            </w:r>
          </w:p>
        </w:tc>
        <w:tc>
          <w:tcPr>
            <w:tcW w:type="dxa" w:w="1514"/>
          </w:tcPr>
          <w:p>
            <w:pPr>
              <w:spacing w:before="20" w:after="20"/>
            </w:pPr>
            <w:r/>
            <w:r>
              <w:rPr>
                <w:rFonts w:ascii="Verdana" w:hAnsi="Verdana"/>
                <w:b w:val="0"/>
                <w:sz w:val="16"/>
              </w:rPr>
              <w:t>Descriptor defining sequence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