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 Hydrographic and hydrological elements</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Specific humidity</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Mixing ratio</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Vapour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Vapour density</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Mixing heights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Minimum 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Maximum 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Non-directional spectra (Ib = 0 in WAVEOB) or partial directional spectra (Ib = 1 in WAVEOB with one direction per wave number). Count = 0 (full directional spectra) or 1 (non-directional spectra or partial directional spectra). Partial directional spectra have only one direction per wave number band.</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Total precipitation/total water equivalent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Depth of fresh snow</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Total snow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Rainfall/water equivalent of snow (averaged rate)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Snowfall (averaged rate)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Precipitable water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Total precipitation past 1 hour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Total precipitation past 3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Total precipitation past 6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Total precipitation past 12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Total precipitation past 24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Evaporation/evapotranspiration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The Quality information descriptor 0 33 002 at this point relates to the w-component 0 11 006. It is given for each respective gate of the profile measurement.</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Evaporation/evapotranspiration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Superadiabatic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Terrain type (ice/snow)</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Surface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Pasquill-Gifford stability category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Parcel lifted index (to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Best lifted index (to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K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KO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Maximum buoyancy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Modified Showalter stability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The "Modified Showalter stability index" is defined as the temperature difference between the ambient 500-hPa temperature and the temperature a parcel of air,initially at a selected base level, would have if brought from its condensation level to the 500-hPa surface by a moist adiabatic process. Positive values denote stable conditions, while negative values denote unstable conditions. The base level is 850 hPa, 800 hPa or 750 hPa if the station elevation is less than 1000, 1000 to 1400 or 1401 to 2000 gpm above mean sea level, respectively.</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Water fraction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Frequency group,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Highest daily amount of precipitation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Intensity of precipitation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Character and intensity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Time of beginning or end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Size of precipitating element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Number of flashes (thunderstorm)</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Total accumulated precipitation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Upstream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Downstream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Maximum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Ground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Water pH</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Water conductivity</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Dissolved oxygen</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Turbidity</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Oxidation Reduction Potential (ORP)</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Radiometer water vapour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Radiometer liquid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Cloud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0 13 094</w:t>
            </w:r>
          </w:p>
        </w:tc>
        <w:tc>
          <w:tcPr>
            <w:tcW w:type="dxa" w:w="1514"/>
          </w:tcPr>
          <w:p>
            <w:pPr>
              <w:spacing w:before="20" w:after="20"/>
            </w:pPr>
            <w:r/>
            <w:r>
              <w:rPr>
                <w:rFonts w:ascii="Verdana" w:hAnsi="Verdana"/>
                <w:b w:val="0"/>
                <w:sz w:val="16"/>
              </w:rPr>
              <w:t>Log10 of cloud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Total column water vapour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MWR water vapour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MWR liquid water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Integrated water vapour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of integrated cloud particle density</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of integrated cloud particle area</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of integrated cloud particle volume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Ice/liquid water path</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Mass mixing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Soil moisture</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Object wetness duration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Rate of ice accretion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Ice thickness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Ice thickness (0 13 115) shall be preceded by Surface type (0 08 029) set to 11, 12, 13 or 14 to specify river, lake, sea or glacier, respectively.</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Water film thickness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Snow density (liquid water content)</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Depth of fresh snow (high accuracy)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Normally 1, may be 2 if both heave and slope sensors are in use, or 0 if no spectral data.</w:t>
            </w:r>
          </w:p>
        </w:tc>
      </w:tr>
      <w:tr>
        <w:trPr>
          <w:cantSplit/>
        </w:trPr>
        <w:tc>
          <w:tcPr>
            <w:tcW w:type="dxa" w:w="1514"/>
          </w:tcPr>
          <w:p>
            <w:pPr>
              <w:spacing w:before="20" w:after="20"/>
            </w:pPr>
            <w:r/>
            <w:r>
              <w:rPr>
                <w:rFonts w:ascii="Verdana" w:hAnsi="Verdana"/>
                <w:b w:val="0"/>
                <w:sz w:val="16"/>
              </w:rPr>
              <w:t>0 13 119</w:t>
            </w:r>
          </w:p>
        </w:tc>
        <w:tc>
          <w:tcPr>
            <w:tcW w:type="dxa" w:w="1514"/>
          </w:tcPr>
          <w:p>
            <w:pPr>
              <w:spacing w:before="20" w:after="20"/>
            </w:pPr>
            <w:r/>
            <w:r>
              <w:rPr>
                <w:rFonts w:ascii="Verdana" w:hAnsi="Verdana"/>
                <w:b w:val="0"/>
                <w:sz w:val="16"/>
              </w:rPr>
              <w:t>Snow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194: In particular on ice sheets and glaciers, snow depth can become negative due to erosion and/or ablation.</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Intensity of precipitation (high accuracy)</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Radiometer liquid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0 13 161</w:t>
            </w:r>
          </w:p>
        </w:tc>
        <w:tc>
          <w:tcPr>
            <w:tcW w:type="dxa" w:w="1514"/>
          </w:tcPr>
          <w:p>
            <w:pPr>
              <w:spacing w:before="20" w:after="20"/>
            </w:pPr>
            <w:r/>
            <w:r>
              <w:rPr>
                <w:rFonts w:ascii="Verdana" w:hAnsi="Verdana"/>
                <w:b w:val="0"/>
                <w:sz w:val="16"/>
              </w:rPr>
              <w:t>Most unstable convective available potential energy (CAPE)</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Cloud liquid water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Snow water equivalent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Sea ice freeboard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0 13 165</w:t>
            </w:r>
          </w:p>
        </w:tc>
        <w:tc>
          <w:tcPr>
            <w:tcW w:type="dxa" w:w="1514"/>
          </w:tcPr>
          <w:p>
            <w:pPr>
              <w:spacing w:before="20" w:after="20"/>
            </w:pPr>
            <w:r/>
            <w:r>
              <w:rPr>
                <w:rFonts w:ascii="Verdana" w:hAnsi="Verdana"/>
                <w:b w:val="0"/>
                <w:sz w:val="16"/>
              </w:rPr>
              <w:t>Convective available potential energy (CAPE)</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186: The convective available potential energy (CAPE) defines the maximum energy available to an ascending air parcel. CAPE is also referred to as positive buoyancy.</w:t>
            </w:r>
          </w:p>
        </w:tc>
      </w:tr>
      <w:tr>
        <w:trPr>
          <w:cantSplit/>
        </w:trPr>
        <w:tc>
          <w:tcPr>
            <w:tcW w:type="dxa" w:w="1514"/>
          </w:tcPr>
          <w:p>
            <w:pPr>
              <w:spacing w:before="20" w:after="20"/>
            </w:pPr>
            <w:r/>
            <w:r>
              <w:rPr>
                <w:rFonts w:ascii="Verdana" w:hAnsi="Verdana"/>
                <w:b w:val="0"/>
                <w:sz w:val="16"/>
              </w:rPr>
              <w:t>0 13 166</w:t>
            </w:r>
          </w:p>
        </w:tc>
        <w:tc>
          <w:tcPr>
            <w:tcW w:type="dxa" w:w="1514"/>
          </w:tcPr>
          <w:p>
            <w:pPr>
              <w:spacing w:before="20" w:after="20"/>
            </w:pPr>
            <w:r/>
            <w:r>
              <w:rPr>
                <w:rFonts w:ascii="Verdana" w:hAnsi="Verdana"/>
                <w:b w:val="0"/>
                <w:sz w:val="16"/>
              </w:rPr>
              <w:t>Total totals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187: The total totals (TT) index is defined by the combination of the vertical totals (VT = T_850 * T_500) and the cross totals (CT = Td_850 - T_500), resulting in TT = T_850 + Td_850 - 2 * T_500.</w:t>
            </w:r>
          </w:p>
        </w:tc>
      </w:tr>
      <w:tr>
        <w:trPr>
          <w:cantSplit/>
        </w:trPr>
        <w:tc>
          <w:tcPr>
            <w:tcW w:type="dxa" w:w="1514"/>
          </w:tcPr>
          <w:p>
            <w:pPr>
              <w:spacing w:before="20" w:after="20"/>
            </w:pPr>
            <w:r/>
            <w:r>
              <w:rPr>
                <w:rFonts w:ascii="Verdana" w:hAnsi="Verdana"/>
                <w:b w:val="0"/>
                <w:sz w:val="16"/>
              </w:rPr>
              <w:t>0 13 167</w:t>
            </w:r>
          </w:p>
        </w:tc>
        <w:tc>
          <w:tcPr>
            <w:tcW w:type="dxa" w:w="1514"/>
          </w:tcPr>
          <w:p>
            <w:pPr>
              <w:spacing w:before="20" w:after="20"/>
            </w:pPr>
            <w:r/>
            <w:r>
              <w:rPr>
                <w:rFonts w:ascii="Verdana" w:hAnsi="Verdana"/>
                <w:b w:val="0"/>
                <w:sz w:val="16"/>
              </w:rPr>
              <w:t>S index (STT)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188: The S index (STT) is defined as STT = TT - (T_700 + Td_700) - A, where TT indicates total totals index and A depends on the vertical totals (VT = T_850 * T_500) such that it penalizes cases with low values of VT (that is, low vertical temperature gradients):  A = 0 (if VT &gt; 25); 2 (if 22 &lt;= VT &lt;= 25); 6 (if VT &lt; 22).</w:t>
            </w:r>
          </w:p>
        </w:tc>
      </w:tr>
      <w:tr>
        <w:trPr>
          <w:cantSplit/>
        </w:trPr>
        <w:tc>
          <w:tcPr>
            <w:tcW w:type="dxa" w:w="1514"/>
          </w:tcPr>
          <w:p>
            <w:pPr>
              <w:spacing w:before="20" w:after="20"/>
            </w:pPr>
            <w:r/>
            <w:r>
              <w:rPr>
                <w:rFonts w:ascii="Verdana" w:hAnsi="Verdana"/>
                <w:b w:val="0"/>
                <w:sz w:val="16"/>
              </w:rPr>
              <w:t>0 13 168</w:t>
            </w:r>
          </w:p>
        </w:tc>
        <w:tc>
          <w:tcPr>
            <w:tcW w:type="dxa" w:w="1514"/>
          </w:tcPr>
          <w:p>
            <w:pPr>
              <w:spacing w:before="20" w:after="20"/>
            </w:pPr>
            <w:r/>
            <w:r>
              <w:rPr>
                <w:rFonts w:ascii="Verdana" w:hAnsi="Verdana"/>
                <w:b w:val="0"/>
                <w:sz w:val="16"/>
              </w:rPr>
              <w:t>Fog threat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pPr>
              <w:spacing w:before="20" w:after="20"/>
            </w:pPr>
            <w:r/>
            <w:r>
              <w:rPr>
                <w:rFonts w:ascii="Verdana" w:hAnsi="Verdana"/>
                <w:b w:val="0"/>
                <w:sz w:val="16"/>
              </w:rPr>
              <w:t>0 13 169</w:t>
            </w:r>
          </w:p>
        </w:tc>
        <w:tc>
          <w:tcPr>
            <w:tcW w:type="dxa" w:w="1514"/>
          </w:tcPr>
          <w:p>
            <w:pPr>
              <w:spacing w:before="20" w:after="20"/>
            </w:pPr>
            <w:r/>
            <w:r>
              <w:rPr>
                <w:rFonts w:ascii="Verdana" w:hAnsi="Verdana"/>
                <w:b w:val="0"/>
                <w:sz w:val="16"/>
              </w:rPr>
              <w:t>Microburst day potential index (MDPI)</w:t>
            </w:r>
          </w:p>
        </w:tc>
        <w:tc>
          <w:tcPr>
            <w:tcW w:type="dxa" w:w="1514"/>
          </w:tcPr>
          <w:p>
            <w:pPr>
              <w:spacing w:before="20" w:after="20"/>
            </w:pPr>
            <w:r/>
            <w:r>
              <w:rPr>
                <w:rFonts w:ascii="Verdana" w:hAnsi="Verdana"/>
                <w:sz w:val="16"/>
              </w:rPr>
              <w:t>K/K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191: The TQ index (TQ) is used to assess the potential for lowtopped convection. It is defined as TQ = (T_850 + Td_850) - 1.7 * (T_700).</w:t>
            </w:r>
          </w:p>
        </w:tc>
      </w:tr>
      <w:tr>
        <w:trPr>
          <w:cantSplit/>
        </w:trPr>
        <w:tc>
          <w:tcPr>
            <w:tcW w:type="dxa" w:w="1514"/>
          </w:tcPr>
          <w:p>
            <w:pPr>
              <w:spacing w:before="20" w:after="20"/>
            </w:pPr>
            <w:r/>
            <w:r>
              <w:rPr>
                <w:rFonts w:ascii="Verdana" w:hAnsi="Verdana"/>
                <w:b w:val="0"/>
                <w:sz w:val="16"/>
              </w:rPr>
              <w:t>0 13 170</w:t>
            </w:r>
          </w:p>
        </w:tc>
        <w:tc>
          <w:tcPr>
            <w:tcW w:type="dxa" w:w="1514"/>
          </w:tcPr>
          <w:p>
            <w:pPr>
              <w:spacing w:before="20" w:after="20"/>
            </w:pPr>
            <w:r/>
            <w:r>
              <w:rPr>
                <w:rFonts w:ascii="Verdana" w:hAnsi="Verdana"/>
                <w:b w:val="0"/>
                <w:sz w:val="16"/>
              </w:rPr>
              <w:t>TQ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pPr>
              <w:spacing w:before="20" w:after="20"/>
            </w:pPr>
            <w:r/>
            <w:r>
              <w:rPr>
                <w:rFonts w:ascii="Verdana" w:hAnsi="Verdana"/>
                <w:b w:val="0"/>
                <w:sz w:val="16"/>
              </w:rPr>
              <w:t>0 13 171</w:t>
            </w:r>
          </w:p>
        </w:tc>
        <w:tc>
          <w:tcPr>
            <w:tcW w:type="dxa" w:w="1514"/>
          </w:tcPr>
          <w:p>
            <w:pPr>
              <w:spacing w:before="20" w:after="20"/>
            </w:pPr>
            <w:r/>
            <w:r>
              <w:rPr>
                <w:rFonts w:ascii="Verdana" w:hAnsi="Verdana"/>
                <w:b w:val="0"/>
                <w:sz w:val="16"/>
              </w:rPr>
              <w:t>CIN (convective inhibition)</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192: The convective inhibition (CIN) indicates the amount of energy required to overcome the negatively buoyant energy the environment exerts on an air parcel. Conceptually, CIN is the opposite of CAPE, and CIN is also referred to as negative buoyancy.</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