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15: Physical/chemical constituents</w:t>
      </w:r>
    </w:p>
    <w:p>
      <w:r>
        <w:rPr>
          <w:rFonts w:ascii="Verdana" w:hAnsi="Verdana"/>
          <w:i/>
          <w:sz w:val="14"/>
        </w:rPr>
        <w:t>Note 23: A precipitation value of -0.1 kg m-2 before scaling (-1 after scaling or in CREX) shall indicate a "trace" (non-measurable, less than 0.05 kg m-2).</w:t>
      </w:r>
    </w:p>
    <w:p>
      <w:r>
        <w:rPr>
          <w:rFonts w:ascii="Verdana" w:hAnsi="Verdana"/>
          <w:i/>
          <w:sz w:val="14"/>
        </w:rPr>
        <w:t>Note 25: A previously defined significance may be cancelled by transmitting a "missing" from the appropriate code or flag table.</w:t>
      </w:r>
    </w:p>
    <w:p>
      <w:r>
        <w:rPr>
          <w:rFonts w:ascii="Verdana" w:hAnsi="Verdana"/>
          <w:i/>
          <w:sz w:val="14"/>
        </w:rPr>
        <w:t>Note 27: All times are Universal Time Coordinated (UTC) unless otherwise noted.</w:t>
      </w:r>
    </w:p>
    <w:p>
      <w:r>
        <w:rPr>
          <w:rFonts w:ascii="Verdana" w:hAnsi="Verdana"/>
          <w:i/>
          <w:sz w:val="14"/>
        </w:rPr>
        <w:t>Note 32: Bearing or azimuth shall only be used with respect to a stated location, and shall not redefine that location.</w:t>
      </w:r>
    </w:p>
    <w:p>
      <w:r>
        <w:rPr>
          <w:rFonts w:ascii="Verdana" w:hAnsi="Verdana"/>
          <w:i/>
          <w:sz w:val="14"/>
        </w:rPr>
        <w:t>Note 62: Distance shall only be used with respect to a stated location and a bearing, azimuth or elevation; it shall not redefine that location.</w:t>
      </w:r>
    </w:p>
    <w:p>
      <w:r>
        <w:rPr>
          <w:rFonts w:ascii="Verdana" w:hAnsi="Verdana"/>
          <w:i/>
          <w:sz w:val="14"/>
        </w:rPr>
        <w:t>Note 63: Downward radiation shall be assigned positive values.</w:t>
      </w:r>
    </w:p>
    <w:p>
      <w:r>
        <w:rPr>
          <w:rFonts w:ascii="Verdana" w:hAnsi="Verdana"/>
          <w:i/>
          <w:sz w:val="14"/>
        </w:rPr>
        <w:t>Note 64: Downward w-components shall be assigned positive values where units are Pa s-1.</w:t>
      </w:r>
    </w:p>
    <w:p>
      <w:r>
        <w:rPr>
          <w:rFonts w:ascii="Verdana" w:hAnsi="Verdana"/>
          <w:i/>
          <w:sz w:val="14"/>
        </w:rPr>
        <w:t>Note 66: East to west increments shall be assigned negative values.</w:t>
      </w:r>
    </w:p>
    <w:p>
      <w:r>
        <w:rPr>
          <w:rFonts w:ascii="Verdana" w:hAnsi="Verdana"/>
          <w:i/>
          <w:sz w:val="14"/>
        </w:rPr>
        <w:t>Note 75: For CREX descriptors F = B, not 0.</w:t>
      </w:r>
    </w:p>
    <w:p>
      <w:r>
        <w:rPr>
          <w:rFonts w:ascii="Verdana" w:hAnsi="Verdana"/>
          <w:i/>
          <w:sz w:val="14"/>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p>
      <w:r>
        <w:rPr>
          <w:rFonts w:ascii="Verdana" w:hAnsi="Verdana"/>
          <w:i/>
          <w:sz w:val="14"/>
        </w:rPr>
        <w:t>Note 105: Negative time periods or displacements shall be used to indicate time periods or displacements preceding the currently defined time.</w:t>
      </w:r>
    </w:p>
    <w:p>
      <w:r>
        <w:rPr>
          <w:rFonts w:ascii="Verdana" w:hAnsi="Verdana"/>
          <w:i/>
          <w:sz w:val="14"/>
        </w:rPr>
        <w:t>Note 110: North to south increments shall be assigned negative values.</w:t>
      </w:r>
    </w:p>
    <w:p>
      <w:r>
        <w:rPr>
          <w:rFonts w:ascii="Verdana" w:hAnsi="Verdana"/>
          <w:i/>
          <w:sz w:val="14"/>
        </w:rPr>
        <w:t>Note 115: Pixel data width can be changed with descriptor 2 01 YYY.</w:t>
      </w:r>
    </w:p>
    <w:p>
      <w:r>
        <w:rPr>
          <w:rFonts w:ascii="Verdana" w:hAnsi="Verdana"/>
          <w:i/>
          <w:sz w:val="14"/>
        </w:rPr>
        <w:t>Note 121: Some indication of expected accuracy may be implied in conjunction with certain elements in this class.</w:t>
      </w:r>
    </w:p>
    <w:p>
      <w:r>
        <w:rPr>
          <w:rFonts w:ascii="Verdana" w:hAnsi="Verdana"/>
          <w:i/>
          <w:sz w:val="14"/>
        </w:rPr>
        <w:t>Note 122: South latitude shall be assigned negative values.</w:t>
      </w:r>
    </w:p>
    <w:p>
      <w:r>
        <w:rPr>
          <w:rFonts w:ascii="Verdana" w:hAnsi="Verdana"/>
          <w:i/>
          <w:sz w:val="14"/>
        </w:rPr>
        <w:t>Note 123: South to north v-components shall be assigned positive values.</w:t>
      </w:r>
    </w:p>
    <w:p>
      <w:r>
        <w:rPr>
          <w:rFonts w:ascii="Verdana" w:hAnsi="Verdana"/>
          <w:i/>
          <w:sz w:val="14"/>
        </w:rPr>
        <w:t>Note 126: Surface wind direction measured at a station within 1° of the North Pole or within 1° of the South Pole shall be reported in such a way that the azimuth ring shall be aligned with its zero coinciding with the Greenwich 0° meridian.</w:t>
      </w:r>
    </w:p>
    <w:p>
      <w:r>
        <w:rPr>
          <w:rFonts w:ascii="Verdana" w:hAnsi="Verdana"/>
          <w:i/>
          <w:sz w:val="14"/>
        </w:rPr>
        <w:t>Note 140: The pixel size on horizontal - 1 is given at location where map scale factor is unity.</w:t>
      </w:r>
    </w:p>
    <w:p>
      <w:r>
        <w:rPr>
          <w:rFonts w:ascii="Verdana" w:hAnsi="Verdana"/>
          <w:i/>
          <w:sz w:val="14"/>
        </w:rPr>
        <w:t>Note 141: The pixel size on horizontal - 2 is given at location where map scale factor is unity.</w:t>
      </w:r>
    </w:p>
    <w:p>
      <w:r>
        <w:rPr>
          <w:rFonts w:ascii="Verdana" w:hAnsi="Verdana"/>
          <w:i/>
          <w:sz w:val="14"/>
        </w:rPr>
        <w:t>Note 145: The significance of time periods or displacements may be indicated using the time significance code corresponding to table reference 0 08 021.</w:t>
      </w:r>
    </w:p>
    <w:p>
      <w:r>
        <w:rPr>
          <w:rFonts w:ascii="Verdana" w:hAnsi="Verdana"/>
          <w:i/>
          <w:sz w:val="14"/>
        </w:rPr>
        <w:t>Note 149: The time location, when used with forecast values, shall indicate the time of the initial state for the forecast, or the beginning of the forecast period; when used with ensemble means of forecast values, the time location shall indicate the initial state or the beginning of the first forecast over which ensemble means are derived.</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p>
      <w:r>
        <w:rPr>
          <w:rFonts w:ascii="Verdana" w:hAnsi="Verdana"/>
          <w:i/>
          <w:sz w:val="14"/>
        </w:rPr>
        <w:t>Note 158: Time periods or displacements and time increments require an initial time location to be defined prior to their use, followed where appropriate by a time significance definition.</w:t>
      </w:r>
    </w:p>
    <w:p>
      <w:r>
        <w:rPr>
          <w:rFonts w:ascii="Verdana" w:hAnsi="Verdana"/>
          <w:i/>
          <w:sz w:val="14"/>
        </w:rPr>
        <w:t>Note 160: Upward radiation shall be assigned negative values.</w:t>
      </w:r>
    </w:p>
    <w:p>
      <w:r>
        <w:rPr>
          <w:rFonts w:ascii="Verdana" w:hAnsi="Verdana"/>
          <w:i/>
          <w:sz w:val="14"/>
        </w:rPr>
        <w:t>Note 161: Upward w-components shall be assigned positive values where units are m s-1.</w:t>
      </w:r>
    </w:p>
    <w:p>
      <w:r>
        <w:rPr>
          <w:rFonts w:ascii="Verdana" w:hAnsi="Verdana"/>
          <w:i/>
          <w:sz w:val="14"/>
        </w:rPr>
        <w:t>Note 162: Useful ranges used above:1011 Bq to 1019 Bq for releases;10-2 Bq to 107 Bq and 10-2 mSv to 107 mSv for concentration and doses.</w:t>
      </w:r>
    </w:p>
    <w:p>
      <w:r>
        <w:rPr>
          <w:rFonts w:ascii="Verdana" w:hAnsi="Verdana"/>
          <w:i/>
          <w:sz w:val="14"/>
        </w:rPr>
        <w:t>Note 163: Values of latitude and latitude increments are limited to the range -90 degrees to +90 degrees.</w:t>
      </w:r>
    </w:p>
    <w:p>
      <w:r>
        <w:rPr>
          <w:rFonts w:ascii="Verdana" w:hAnsi="Verdana"/>
          <w:i/>
          <w:sz w:val="14"/>
        </w:rPr>
        <w:t>Note 164: Values of longitude are limited to the range -180 degrees to +180 degrees.</w:t>
      </w:r>
    </w:p>
    <w:p>
      <w:r>
        <w:rPr>
          <w:rFonts w:ascii="Verdana" w:hAnsi="Verdana"/>
          <w:i/>
          <w:sz w:val="14"/>
        </w:rPr>
        <w:t>Note 165: Vertical elements and pressure shall be used to define values of these elements independent of the element or variable denoting the vertical coordinate.</w:t>
      </w:r>
    </w:p>
    <w:p>
      <w:r>
        <w:rPr>
          <w:rFonts w:ascii="Verdana" w:hAnsi="Verdana"/>
          <w:i/>
          <w:sz w:val="14"/>
        </w:rPr>
        <w:t>Note 166: West longitude shall be assigned negative values.</w:t>
      </w:r>
    </w:p>
    <w:p>
      <w:r>
        <w:rPr>
          <w:rFonts w:ascii="Verdana" w:hAnsi="Verdana"/>
          <w:i/>
          <w:sz w:val="14"/>
        </w:rPr>
        <w:t>Note 167: West to east u-components shall be assigned positive values.</w:t>
      </w:r>
    </w:p>
    <w:p>
      <w:r>
        <w:rPr>
          <w:rFonts w:ascii="Verdana" w:hAnsi="Verdana"/>
          <w:i/>
          <w:sz w:val="14"/>
        </w:rPr>
        <w:t>Note 176: Where more than one time period or displacement is required to define complex time structures, they shall be defined in immediate succession, and the following ordering shall apply: ensemble period (if required), followed by forecast period (if required), followed by period for averaging or accumulation (if required).</w:t>
      </w:r>
    </w:p>
    <w:p>
      <w:r>
        <w:rPr>
          <w:rFonts w:ascii="Verdana" w:hAnsi="Verdana"/>
          <w:i/>
          <w:sz w:val="14"/>
        </w:rPr>
        <w:t>Note 178: Where the expression "period specified" is entered under element name, an appropriate period shall be specified using descriptors from Class 04.</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p>
      <w:r>
        <w:rPr>
          <w:rFonts w:ascii="Verdana" w:hAnsi="Verdana"/>
          <w:i/>
          <w:sz w:val="14"/>
        </w:rPr>
        <w:t>Note 180: Wind reporting standards: Speed Direction No observation Missing Missing Calm 0 0 Normal observation &gt; 0 1° - 360° Speed only &gt; 0 Missing Direction only Missing 1°-360° "Light and variable" &gt; 0 0</w:t>
      </w:r>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0 15 001</w:t>
            </w:r>
          </w:p>
        </w:tc>
        <w:tc>
          <w:tcPr>
            <w:tcW w:type="dxa" w:w="1514"/>
          </w:tcPr>
          <w:p>
            <w:pPr>
              <w:spacing w:before="20" w:after="20"/>
            </w:pPr>
            <w:r/>
            <w:r>
              <w:rPr>
                <w:rFonts w:ascii="Verdana" w:hAnsi="Verdana"/>
                <w:b w:val="0"/>
                <w:sz w:val="16"/>
              </w:rPr>
              <w:t>Total ozone</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0 15 002</w:t>
            </w:r>
          </w:p>
        </w:tc>
        <w:tc>
          <w:tcPr>
            <w:tcW w:type="dxa" w:w="1514"/>
          </w:tcPr>
          <w:p>
            <w:pPr>
              <w:spacing w:before="20" w:after="20"/>
            </w:pPr>
            <w:r/>
            <w:r>
              <w:rPr>
                <w:rFonts w:ascii="Verdana" w:hAnsi="Verdana"/>
                <w:b w:val="0"/>
                <w:sz w:val="16"/>
              </w:rPr>
              <w:t>Air mass (slant path at 22 km)</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0 15 003</w:t>
            </w:r>
          </w:p>
        </w:tc>
        <w:tc>
          <w:tcPr>
            <w:tcW w:type="dxa" w:w="1514"/>
          </w:tcPr>
          <w:p>
            <w:pPr>
              <w:spacing w:before="20" w:after="20"/>
            </w:pPr>
            <w:r/>
            <w:r>
              <w:rPr>
                <w:rFonts w:ascii="Verdana" w:hAnsi="Verdana"/>
                <w:b w:val="0"/>
                <w:sz w:val="16"/>
              </w:rPr>
              <w:t>Measured ozone partial pressure (sounding)</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nbar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 3 04 035 is deprecated.</w:t>
            </w:r>
          </w:p>
        </w:tc>
      </w:tr>
      <w:tr>
        <w:trPr>
          <w:cantSplit/>
        </w:trPr>
        <w:tc>
          <w:tcPr>
            <w:tcW w:type="dxa" w:w="1514"/>
          </w:tcPr>
          <w:p>
            <w:pPr>
              <w:spacing w:before="20" w:after="20"/>
            </w:pPr>
            <w:r/>
            <w:r>
              <w:rPr>
                <w:rFonts w:ascii="Verdana" w:hAnsi="Verdana"/>
                <w:b w:val="0"/>
                <w:sz w:val="16"/>
              </w:rPr>
              <w:t>0 15 004</w:t>
            </w:r>
          </w:p>
        </w:tc>
        <w:tc>
          <w:tcPr>
            <w:tcW w:type="dxa" w:w="1514"/>
          </w:tcPr>
          <w:p>
            <w:pPr>
              <w:spacing w:before="20" w:after="20"/>
            </w:pPr>
            <w:r/>
            <w:r>
              <w:rPr>
                <w:rFonts w:ascii="Verdana" w:hAnsi="Verdana"/>
                <w:b w:val="0"/>
                <w:sz w:val="16"/>
              </w:rPr>
              <w:t>Ozone sounding correction factor (CF)</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 3 07 082 is deprecated.</w:t>
            </w:r>
          </w:p>
        </w:tc>
      </w:tr>
      <w:tr>
        <w:trPr>
          <w:cantSplit/>
        </w:trPr>
        <w:tc>
          <w:tcPr>
            <w:tcW w:type="dxa" w:w="1514"/>
          </w:tcPr>
          <w:p>
            <w:pPr>
              <w:spacing w:before="20" w:after="20"/>
            </w:pPr>
            <w:r/>
            <w:r>
              <w:rPr>
                <w:rFonts w:ascii="Verdana" w:hAnsi="Verdana"/>
                <w:b w:val="0"/>
                <w:sz w:val="16"/>
              </w:rPr>
              <w:t>0 15 005</w:t>
            </w:r>
          </w:p>
        </w:tc>
        <w:tc>
          <w:tcPr>
            <w:tcW w:type="dxa" w:w="1514"/>
          </w:tcPr>
          <w:p>
            <w:pPr>
              <w:spacing w:before="20" w:after="20"/>
            </w:pPr>
            <w:r/>
            <w:r>
              <w:rPr>
                <w:rFonts w:ascii="Verdana" w:hAnsi="Verdana"/>
                <w:b w:val="0"/>
                <w:sz w:val="16"/>
              </w:rPr>
              <w:t>Ozone p</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 3 10 027 is deprecated.</w:t>
            </w:r>
          </w:p>
        </w:tc>
      </w:tr>
      <w:tr>
        <w:trPr>
          <w:cantSplit/>
        </w:trPr>
        <w:tc>
          <w:tcPr>
            <w:tcW w:type="dxa" w:w="1514"/>
          </w:tcPr>
          <w:p>
            <w:pPr>
              <w:spacing w:before="20" w:after="20"/>
            </w:pPr>
            <w:r/>
            <w:r>
              <w:rPr>
                <w:rFonts w:ascii="Verdana" w:hAnsi="Verdana"/>
                <w:b w:val="0"/>
                <w:sz w:val="16"/>
              </w:rPr>
              <w:t>0 15 006</w:t>
            </w:r>
          </w:p>
        </w:tc>
        <w:tc>
          <w:tcPr>
            <w:tcW w:type="dxa" w:w="1514"/>
          </w:tcPr>
          <w:p>
            <w:pPr>
              <w:spacing w:before="20" w:after="20"/>
            </w:pPr>
            <w:r/>
            <w:r>
              <w:rPr>
                <w:rFonts w:ascii="Verdana" w:hAnsi="Verdana"/>
                <w:b w:val="0"/>
                <w:sz w:val="16"/>
              </w:rPr>
              <w:t>Log10 of number density of atmosphere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0 15 007</w:t>
            </w:r>
          </w:p>
        </w:tc>
        <w:tc>
          <w:tcPr>
            <w:tcW w:type="dxa" w:w="1514"/>
          </w:tcPr>
          <w:p>
            <w:pPr>
              <w:spacing w:before="20" w:after="20"/>
            </w:pPr>
            <w:r/>
            <w:r>
              <w:rPr>
                <w:rFonts w:ascii="Verdana" w:hAnsi="Verdana"/>
                <w:b w:val="0"/>
                <w:sz w:val="16"/>
              </w:rPr>
              <w:t>Estimated amount of chemical constituent</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0 15 008</w:t>
            </w:r>
          </w:p>
        </w:tc>
        <w:tc>
          <w:tcPr>
            <w:tcW w:type="dxa" w:w="1514"/>
          </w:tcPr>
          <w:p>
            <w:pPr>
              <w:spacing w:before="20" w:after="20"/>
            </w:pPr>
            <w:r/>
            <w:r>
              <w:rPr>
                <w:rFonts w:ascii="Verdana" w:hAnsi="Verdana"/>
                <w:b w:val="0"/>
                <w:sz w:val="16"/>
              </w:rPr>
              <w:t>Significand of volumetric mixing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0 15 009</w:t>
            </w:r>
          </w:p>
        </w:tc>
        <w:tc>
          <w:tcPr>
            <w:tcW w:type="dxa" w:w="1514"/>
          </w:tcPr>
          <w:p>
            <w:pPr>
              <w:spacing w:before="20" w:after="20"/>
            </w:pPr>
            <w:r/>
            <w:r>
              <w:rPr>
                <w:rFonts w:ascii="Verdana" w:hAnsi="Verdana"/>
                <w:b w:val="0"/>
                <w:sz w:val="16"/>
              </w:rPr>
              <w:t>Log10 of number density of ozone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1200000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0 15 011</w:t>
            </w:r>
          </w:p>
        </w:tc>
        <w:tc>
          <w:tcPr>
            <w:tcW w:type="dxa" w:w="1514"/>
          </w:tcPr>
          <w:p>
            <w:pPr>
              <w:spacing w:before="20" w:after="20"/>
            </w:pPr>
            <w:r/>
            <w:r>
              <w:rPr>
                <w:rFonts w:ascii="Verdana" w:hAnsi="Verdana"/>
                <w:b w:val="0"/>
                <w:sz w:val="16"/>
              </w:rPr>
              <w:t>Log10 of integrated electron density</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0 15 012</w:t>
            </w:r>
          </w:p>
        </w:tc>
        <w:tc>
          <w:tcPr>
            <w:tcW w:type="dxa" w:w="1514"/>
          </w:tcPr>
          <w:p>
            <w:pPr>
              <w:spacing w:before="20" w:after="20"/>
            </w:pPr>
            <w:r/>
            <w:r>
              <w:rPr>
                <w:rFonts w:ascii="Verdana" w:hAnsi="Verdana"/>
                <w:b w:val="0"/>
                <w:sz w:val="16"/>
              </w:rPr>
              <w:t>Total electron count per square metre</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0 15 015</w:t>
            </w:r>
          </w:p>
        </w:tc>
        <w:tc>
          <w:tcPr>
            <w:tcW w:type="dxa" w:w="1514"/>
          </w:tcPr>
          <w:p>
            <w:pPr>
              <w:spacing w:before="20" w:after="20"/>
            </w:pPr>
            <w:r/>
            <w:r>
              <w:rPr>
                <w:rFonts w:ascii="Verdana" w:hAnsi="Verdana"/>
                <w:b w:val="0"/>
                <w:sz w:val="16"/>
              </w:rPr>
              <w:t>Maximum image spectral component before normalization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0 15 020</w:t>
            </w:r>
          </w:p>
        </w:tc>
        <w:tc>
          <w:tcPr>
            <w:tcW w:type="dxa" w:w="1514"/>
          </w:tcPr>
          <w:p>
            <w:pPr>
              <w:spacing w:before="20" w:after="20"/>
            </w:pPr>
            <w:r/>
            <w:r>
              <w:rPr>
                <w:rFonts w:ascii="Verdana" w:hAnsi="Verdana"/>
                <w:b w:val="0"/>
                <w:sz w:val="16"/>
              </w:rPr>
              <w:t>Integrated ozone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0 15 021</w:t>
            </w:r>
          </w:p>
        </w:tc>
        <w:tc>
          <w:tcPr>
            <w:tcW w:type="dxa" w:w="1514"/>
          </w:tcPr>
          <w:p>
            <w:pPr>
              <w:spacing w:before="20" w:after="20"/>
            </w:pPr>
            <w:r/>
            <w:r>
              <w:rPr>
                <w:rFonts w:ascii="Verdana" w:hAnsi="Verdana"/>
                <w:b w:val="0"/>
                <w:sz w:val="16"/>
              </w:rPr>
              <w:t>Integrated mass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0 15 022</w:t>
            </w:r>
          </w:p>
        </w:tc>
        <w:tc>
          <w:tcPr>
            <w:tcW w:type="dxa" w:w="1514"/>
          </w:tcPr>
          <w:p>
            <w:pPr>
              <w:spacing w:before="20" w:after="20"/>
            </w:pPr>
            <w:r/>
            <w:r>
              <w:rPr>
                <w:rFonts w:ascii="Verdana" w:hAnsi="Verdana"/>
                <w:b w:val="0"/>
                <w:sz w:val="16"/>
              </w:rPr>
              <w:t>Extended integrated mass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-100000000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0 15 024</w:t>
            </w:r>
          </w:p>
        </w:tc>
        <w:tc>
          <w:tcPr>
            <w:tcW w:type="dxa" w:w="1514"/>
          </w:tcPr>
          <w:p>
            <w:pPr>
              <w:spacing w:before="20" w:after="20"/>
            </w:pPr>
            <w:r/>
            <w:r>
              <w:rPr>
                <w:rFonts w:ascii="Verdana" w:hAnsi="Verdana"/>
                <w:b w:val="0"/>
                <w:sz w:val="16"/>
              </w:rPr>
              <w:t>Optical depth</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0 15 025</w:t>
            </w:r>
          </w:p>
        </w:tc>
        <w:tc>
          <w:tcPr>
            <w:tcW w:type="dxa" w:w="1514"/>
          </w:tcPr>
          <w:p>
            <w:pPr>
              <w:spacing w:before="20" w:after="20"/>
            </w:pPr>
            <w:r/>
            <w:r>
              <w:rPr>
                <w:rFonts w:ascii="Verdana" w:hAnsi="Verdana"/>
                <w:b w:val="0"/>
                <w:sz w:val="16"/>
              </w:rPr>
              <w:t>Type of pollutant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0 15 026</w:t>
            </w:r>
          </w:p>
        </w:tc>
        <w:tc>
          <w:tcPr>
            <w:tcW w:type="dxa" w:w="1514"/>
          </w:tcPr>
          <w:p>
            <w:pPr>
              <w:spacing w:before="20" w:after="20"/>
            </w:pPr>
            <w:r/>
            <w:r>
              <w:rPr>
                <w:rFonts w:ascii="Verdana" w:hAnsi="Verdana"/>
                <w:b w:val="0"/>
                <w:sz w:val="16"/>
              </w:rPr>
              <w:t>Concentration of pollutant (mol mol-1)</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0 15 027</w:t>
            </w:r>
          </w:p>
        </w:tc>
        <w:tc>
          <w:tcPr>
            <w:tcW w:type="dxa" w:w="1514"/>
          </w:tcPr>
          <w:p>
            <w:pPr>
              <w:spacing w:before="20" w:after="20"/>
            </w:pPr>
            <w:r/>
            <w:r>
              <w:rPr>
                <w:rFonts w:ascii="Verdana" w:hAnsi="Verdana"/>
                <w:b w:val="0"/>
                <w:sz w:val="16"/>
              </w:rPr>
              <w:t>Concentration of pollutant (kg m-3)</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0 15 028</w:t>
            </w:r>
          </w:p>
        </w:tc>
        <w:tc>
          <w:tcPr>
            <w:tcW w:type="dxa" w:w="1514"/>
          </w:tcPr>
          <w:p>
            <w:pPr>
              <w:spacing w:before="20" w:after="20"/>
            </w:pPr>
            <w:r/>
            <w:r>
              <w:rPr>
                <w:rFonts w:ascii="Verdana" w:hAnsi="Verdana"/>
                <w:b w:val="0"/>
                <w:sz w:val="16"/>
              </w:rPr>
              <w:t>Mole fraction of atmospheric constituent/pollutant in dry air</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0 15 029</w:t>
            </w:r>
          </w:p>
        </w:tc>
        <w:tc>
          <w:tcPr>
            <w:tcW w:type="dxa" w:w="1514"/>
          </w:tcPr>
          <w:p>
            <w:pPr>
              <w:spacing w:before="20" w:after="20"/>
            </w:pPr>
            <w:r/>
            <w:r>
              <w:rPr>
                <w:rFonts w:ascii="Verdana" w:hAnsi="Verdana"/>
                <w:b w:val="0"/>
                <w:sz w:val="16"/>
              </w:rPr>
              <w:t>Extinction coefficient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0 15 030</w:t>
            </w:r>
          </w:p>
        </w:tc>
        <w:tc>
          <w:tcPr>
            <w:tcW w:type="dxa" w:w="1514"/>
          </w:tcPr>
          <w:p>
            <w:pPr>
              <w:spacing w:before="20" w:after="20"/>
            </w:pPr>
            <w:r/>
            <w:r>
              <w:rPr>
                <w:rFonts w:ascii="Verdana" w:hAnsi="Verdana"/>
                <w:b w:val="0"/>
                <w:sz w:val="16"/>
              </w:rPr>
              <w:t>Aerosol contamination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79: It is recommended to use 3 15 023 instead of 3 15 013.</w:t>
            </w:r>
          </w:p>
        </w:tc>
      </w:tr>
      <w:tr>
        <w:trPr>
          <w:cantSplit/>
        </w:trPr>
        <w:tc>
          <w:tcPr>
            <w:tcW w:type="dxa" w:w="1514"/>
          </w:tcPr>
          <w:p>
            <w:pPr>
              <w:spacing w:before="20" w:after="20"/>
            </w:pPr>
            <w:r/>
            <w:r>
              <w:rPr>
                <w:rFonts w:ascii="Verdana" w:hAnsi="Verdana"/>
                <w:b w:val="0"/>
                <w:sz w:val="16"/>
              </w:rPr>
              <w:t>0 15 031</w:t>
            </w:r>
          </w:p>
        </w:tc>
        <w:tc>
          <w:tcPr>
            <w:tcW w:type="dxa" w:w="1514"/>
          </w:tcPr>
          <w:p>
            <w:pPr>
              <w:spacing w:before="20" w:after="20"/>
            </w:pPr>
            <w:r/>
            <w:r>
              <w:rPr>
                <w:rFonts w:ascii="Verdana" w:hAnsi="Verdana"/>
                <w:b w:val="0"/>
                <w:sz w:val="16"/>
              </w:rPr>
              <w:t>Atmospheric path delay in satellite signal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0 15 032</w:t>
            </w:r>
          </w:p>
        </w:tc>
        <w:tc>
          <w:tcPr>
            <w:tcW w:type="dxa" w:w="1514"/>
          </w:tcPr>
          <w:p>
            <w:pPr>
              <w:spacing w:before="20" w:after="20"/>
            </w:pPr>
            <w:r/>
            <w:r>
              <w:rPr>
                <w:rFonts w:ascii="Verdana" w:hAnsi="Verdana"/>
                <w:b w:val="0"/>
                <w:sz w:val="16"/>
              </w:rPr>
              <w:t>Estimated error in atmospheric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0 15 033</w:t>
            </w:r>
          </w:p>
        </w:tc>
        <w:tc>
          <w:tcPr>
            <w:tcW w:type="dxa" w:w="1514"/>
          </w:tcPr>
          <w:p>
            <w:pPr>
              <w:spacing w:before="20" w:after="20"/>
            </w:pPr>
            <w:r/>
            <w:r>
              <w:rPr>
                <w:rFonts w:ascii="Verdana" w:hAnsi="Verdana"/>
                <w:b w:val="0"/>
                <w:sz w:val="16"/>
              </w:rPr>
              <w:t>Difference in path delays for limb views at extremes of scan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0 15 034</w:t>
            </w:r>
          </w:p>
        </w:tc>
        <w:tc>
          <w:tcPr>
            <w:tcW w:type="dxa" w:w="1514"/>
          </w:tcPr>
          <w:p>
            <w:pPr>
              <w:spacing w:before="20" w:after="20"/>
            </w:pPr>
            <w:r/>
            <w:r>
              <w:rPr>
                <w:rFonts w:ascii="Verdana" w:hAnsi="Verdana"/>
                <w:b w:val="0"/>
                <w:sz w:val="16"/>
              </w:rPr>
              <w:t>Estimated error in path delay difference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0 15 035</w:t>
            </w:r>
          </w:p>
        </w:tc>
        <w:tc>
          <w:tcPr>
            <w:tcW w:type="dxa" w:w="1514"/>
          </w:tcPr>
          <w:p>
            <w:pPr>
              <w:spacing w:before="20" w:after="20"/>
            </w:pPr>
            <w:r/>
            <w:r>
              <w:rPr>
                <w:rFonts w:ascii="Verdana" w:hAnsi="Verdana"/>
                <w:b w:val="0"/>
                <w:sz w:val="16"/>
              </w:rPr>
              <w:t>Component of zenith path delay due to water vapour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0 15 036</w:t>
            </w:r>
          </w:p>
        </w:tc>
        <w:tc>
          <w:tcPr>
            <w:tcW w:type="dxa" w:w="1514"/>
          </w:tcPr>
          <w:p>
            <w:pPr>
              <w:spacing w:before="20" w:after="20"/>
            </w:pPr>
            <w:r/>
            <w:r>
              <w:rPr>
                <w:rFonts w:ascii="Verdana" w:hAnsi="Verdana"/>
                <w:b w:val="0"/>
                <w:sz w:val="16"/>
              </w:rPr>
              <w:t>Atmospheric refractivity</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142: The refractivity, N, is related to the refractive index, n, by the formula N = 106 (n - 1). N is therefore dimensionless but values computed by the formula are by convention described as being in "N units".</w:t>
            </w:r>
          </w:p>
        </w:tc>
      </w:tr>
      <w:tr>
        <w:trPr>
          <w:cantSplit/>
        </w:trPr>
        <w:tc>
          <w:tcPr>
            <w:tcW w:type="dxa" w:w="1514"/>
          </w:tcPr>
          <w:p>
            <w:pPr>
              <w:spacing w:before="20" w:after="20"/>
            </w:pPr>
            <w:r/>
            <w:r>
              <w:rPr>
                <w:rFonts w:ascii="Verdana" w:hAnsi="Verdana"/>
                <w:b w:val="0"/>
                <w:sz w:val="16"/>
              </w:rPr>
              <w:t>0 15 037</w:t>
            </w:r>
          </w:p>
        </w:tc>
        <w:tc>
          <w:tcPr>
            <w:tcW w:type="dxa" w:w="1514"/>
          </w:tcPr>
          <w:p>
            <w:pPr>
              <w:spacing w:before="20" w:after="20"/>
            </w:pPr>
            <w:r/>
            <w:r>
              <w:rPr>
                <w:rFonts w:ascii="Verdana" w:hAnsi="Verdana"/>
                <w:b w:val="0"/>
                <w:sz w:val="16"/>
              </w:rPr>
              <w:t>Bending angle</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0 15 038</w:t>
            </w:r>
          </w:p>
        </w:tc>
        <w:tc>
          <w:tcPr>
            <w:tcW w:type="dxa" w:w="1514"/>
          </w:tcPr>
          <w:p>
            <w:pPr>
              <w:spacing w:before="20" w:after="20"/>
            </w:pPr>
            <w:r/>
            <w:r>
              <w:rPr>
                <w:rFonts w:ascii="Verdana" w:hAnsi="Verdana"/>
                <w:b w:val="0"/>
                <w:sz w:val="16"/>
              </w:rPr>
              <w:t>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Note 4: Additional descriptors are required to reduce the workload with respect to the station database, e.g. for identification of the federal state and identification of the highway.</w:t>
            </w:r>
          </w:p>
        </w:tc>
      </w:tr>
      <w:tr>
        <w:trPr>
          <w:cantSplit/>
        </w:trPr>
        <w:tc>
          <w:tcPr>
            <w:tcW w:type="dxa" w:w="1514"/>
          </w:tcPr>
          <w:p>
            <w:pPr>
              <w:spacing w:before="20" w:after="20"/>
            </w:pPr>
            <w:r/>
            <w:r>
              <w:rPr>
                <w:rFonts w:ascii="Verdana" w:hAnsi="Verdana"/>
                <w:b w:val="0"/>
                <w:sz w:val="16"/>
              </w:rPr>
              <w:t>0 15 039</w:t>
            </w:r>
          </w:p>
        </w:tc>
        <w:tc>
          <w:tcPr>
            <w:tcW w:type="dxa" w:w="1514"/>
          </w:tcPr>
          <w:p>
            <w:pPr>
              <w:spacing w:before="20" w:after="20"/>
            </w:pPr>
            <w:r/>
            <w:r>
              <w:rPr>
                <w:rFonts w:ascii="Verdana" w:hAnsi="Verdana"/>
                <w:b w:val="0"/>
                <w:sz w:val="16"/>
              </w:rPr>
              <w:t>Estimated error in neutral atmosphere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0 15 041</w:t>
            </w:r>
          </w:p>
        </w:tc>
        <w:tc>
          <w:tcPr>
            <w:tcW w:type="dxa" w:w="1514"/>
          </w:tcPr>
          <w:p>
            <w:pPr>
              <w:spacing w:before="20" w:after="20"/>
            </w:pPr>
            <w:r/>
            <w:r>
              <w:rPr>
                <w:rFonts w:ascii="Verdana" w:hAnsi="Verdana"/>
                <w:b w:val="0"/>
                <w:sz w:val="16"/>
              </w:rPr>
              <w:t>Sulphur dioxide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w:t>
            </w:r>
          </w:p>
        </w:tc>
      </w:tr>
      <w:tr>
        <w:trPr>
          <w:cantSplit/>
        </w:trPr>
        <w:tc>
          <w:tcPr>
            <w:tcW w:type="dxa" w:w="1514"/>
          </w:tcPr>
          <w:p>
            <w:pPr>
              <w:spacing w:before="20" w:after="20"/>
            </w:pPr>
            <w:r/>
            <w:r>
              <w:rPr>
                <w:rFonts w:ascii="Verdana" w:hAnsi="Verdana"/>
                <w:b w:val="0"/>
                <w:sz w:val="16"/>
              </w:rPr>
              <w:t>0 15 042</w:t>
            </w:r>
          </w:p>
        </w:tc>
        <w:tc>
          <w:tcPr>
            <w:tcW w:type="dxa" w:w="1514"/>
          </w:tcPr>
          <w:p>
            <w:pPr>
              <w:spacing w:before="20" w:after="20"/>
            </w:pPr>
            <w:r/>
            <w:r>
              <w:rPr>
                <w:rFonts w:ascii="Verdana" w:hAnsi="Verdana"/>
                <w:b w:val="0"/>
                <w:sz w:val="16"/>
              </w:rPr>
              <w:t>Reflectance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0 15 043</w:t>
            </w:r>
          </w:p>
        </w:tc>
        <w:tc>
          <w:tcPr>
            <w:tcW w:type="dxa" w:w="1514"/>
          </w:tcPr>
          <w:p>
            <w:pPr>
              <w:spacing w:before="20" w:after="20"/>
            </w:pPr>
            <w:r/>
            <w:r>
              <w:rPr>
                <w:rFonts w:ascii="Verdana" w:hAnsi="Verdana"/>
                <w:b w:val="0"/>
                <w:sz w:val="16"/>
              </w:rPr>
              <w:t>Number of averaging kernel layers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0 15 044</w:t>
            </w:r>
          </w:p>
        </w:tc>
        <w:tc>
          <w:tcPr>
            <w:tcW w:type="dxa" w:w="1514"/>
          </w:tcPr>
          <w:p>
            <w:pPr>
              <w:spacing w:before="20" w:after="20"/>
            </w:pPr>
            <w:r/>
            <w:r>
              <w:rPr>
                <w:rFonts w:ascii="Verdana" w:hAnsi="Verdana"/>
                <w:b w:val="0"/>
                <w:sz w:val="16"/>
              </w:rPr>
              <w:t>Averaging kernel value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-5000000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0 15 045</w:t>
            </w:r>
          </w:p>
        </w:tc>
        <w:tc>
          <w:tcPr>
            <w:tcW w:type="dxa" w:w="1514"/>
          </w:tcPr>
          <w:p>
            <w:pPr>
              <w:spacing w:before="20" w:after="20"/>
            </w:pPr>
            <w:r/>
            <w:r>
              <w:rPr>
                <w:rFonts w:ascii="Verdana" w:hAnsi="Verdana"/>
                <w:b w:val="0"/>
                <w:sz w:val="16"/>
              </w:rPr>
              <w:t>Sulphur dioxide</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1514"/>
          </w:tcPr>
          <w:p>
            <w:pPr>
              <w:spacing w:before="20" w:after="20"/>
            </w:pPr>
            <w:r/>
            <w:r>
              <w:rPr>
                <w:rFonts w:ascii="Verdana" w:hAnsi="Verdana"/>
                <w:b w:val="0"/>
                <w:sz w:val="16"/>
              </w:rPr>
              <w:t>0 15 046</w:t>
            </w:r>
          </w:p>
        </w:tc>
        <w:tc>
          <w:tcPr>
            <w:tcW w:type="dxa" w:w="1514"/>
          </w:tcPr>
          <w:p>
            <w:pPr>
              <w:spacing w:before="20" w:after="20"/>
            </w:pPr>
            <w:r/>
            <w:r>
              <w:rPr>
                <w:rFonts w:ascii="Verdana" w:hAnsi="Verdana"/>
                <w:b w:val="0"/>
                <w:sz w:val="16"/>
              </w:rPr>
              <w:t>Volcano contamination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80: For a discussion of 'Forecast indices from ground-based microwave radiometers for operational meteorology' see: https://doi.org/10.5194/amt-8-315-2015.</w:t>
            </w:r>
          </w:p>
        </w:tc>
      </w:tr>
      <w:tr>
        <w:trPr>
          <w:cantSplit/>
        </w:trPr>
        <w:tc>
          <w:tcPr>
            <w:tcW w:type="dxa" w:w="1514"/>
          </w:tcPr>
          <w:p>
            <w:pPr>
              <w:spacing w:before="20" w:after="20"/>
            </w:pPr>
            <w:r/>
            <w:r>
              <w:rPr>
                <w:rFonts w:ascii="Verdana" w:hAnsi="Verdana"/>
                <w:b w:val="0"/>
                <w:sz w:val="16"/>
              </w:rPr>
              <w:t>0 15 049</w:t>
            </w:r>
          </w:p>
        </w:tc>
        <w:tc>
          <w:tcPr>
            <w:tcW w:type="dxa" w:w="1514"/>
          </w:tcPr>
          <w:p>
            <w:pPr>
              <w:spacing w:before="20" w:after="20"/>
            </w:pPr>
            <w:r/>
            <w:r>
              <w:rPr>
                <w:rFonts w:ascii="Verdana" w:hAnsi="Verdana"/>
                <w:b w:val="0"/>
                <w:sz w:val="16"/>
              </w:rPr>
              <w:t>Aerosol Angstrom wavelength exponent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0 15 051</w:t>
            </w:r>
          </w:p>
        </w:tc>
        <w:tc>
          <w:tcPr>
            <w:tcW w:type="dxa" w:w="1514"/>
          </w:tcPr>
          <w:p>
            <w:pPr>
              <w:spacing w:before="20" w:after="20"/>
            </w:pPr>
            <w:r/>
            <w:r>
              <w:rPr>
                <w:rFonts w:ascii="Verdana" w:hAnsi="Verdana"/>
                <w:b w:val="0"/>
                <w:sz w:val="16"/>
              </w:rPr>
              <w:t>Meteorological optical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0 15 052</w:t>
            </w:r>
          </w:p>
        </w:tc>
        <w:tc>
          <w:tcPr>
            <w:tcW w:type="dxa" w:w="1514"/>
          </w:tcPr>
          <w:p>
            <w:pPr>
              <w:spacing w:before="20" w:after="20"/>
            </w:pPr>
            <w:r/>
            <w:r>
              <w:rPr>
                <w:rFonts w:ascii="Verdana" w:hAnsi="Verdana"/>
                <w:b w:val="0"/>
                <w:sz w:val="16"/>
              </w:rPr>
              <w:t>Log10 of number density of aerosol particles with diameter greater than 5 nm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0 15 053</w:t>
            </w:r>
          </w:p>
        </w:tc>
        <w:tc>
          <w:tcPr>
            <w:tcW w:type="dxa" w:w="1514"/>
          </w:tcPr>
          <w:p>
            <w:pPr>
              <w:spacing w:before="20" w:after="20"/>
            </w:pPr>
            <w:r/>
            <w:r>
              <w:rPr>
                <w:rFonts w:ascii="Verdana" w:hAnsi="Verdana"/>
                <w:b w:val="0"/>
                <w:sz w:val="16"/>
              </w:rPr>
              <w:t>Log10 of number density of aerosol particles with diameter greater than 14 nm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600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0 15 054</w:t>
            </w:r>
          </w:p>
        </w:tc>
        <w:tc>
          <w:tcPr>
            <w:tcW w:type="dxa" w:w="1514"/>
          </w:tcPr>
          <w:p>
            <w:pPr>
              <w:spacing w:before="20" w:after="20"/>
            </w:pPr>
            <w:r/>
            <w:r>
              <w:rPr>
                <w:rFonts w:ascii="Verdana" w:hAnsi="Verdana"/>
                <w:b w:val="0"/>
                <w:sz w:val="16"/>
              </w:rPr>
              <w:t>Log10 of number density of aerosol particles with diameter between 0.25 and 2.5 um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550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0 15 055</w:t>
            </w:r>
          </w:p>
        </w:tc>
        <w:tc>
          <w:tcPr>
            <w:tcW w:type="dxa" w:w="1514"/>
          </w:tcPr>
          <w:p>
            <w:pPr>
              <w:spacing w:before="20" w:after="20"/>
            </w:pPr>
            <w:r/>
            <w:r>
              <w:rPr>
                <w:rFonts w:ascii="Verdana" w:hAnsi="Verdana"/>
                <w:b w:val="0"/>
                <w:sz w:val="16"/>
              </w:rPr>
              <w:t>Non volatile aerosol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0 15 062</w:t>
            </w:r>
          </w:p>
        </w:tc>
        <w:tc>
          <w:tcPr>
            <w:tcW w:type="dxa" w:w="1514"/>
          </w:tcPr>
          <w:p>
            <w:pPr>
              <w:spacing w:before="20" w:after="20"/>
            </w:pPr>
            <w:r/>
            <w:r>
              <w:rPr>
                <w:rFonts w:ascii="Verdana" w:hAnsi="Verdana"/>
                <w:b w:val="0"/>
                <w:sz w:val="16"/>
              </w:rPr>
              <w:t>Aerosol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0 15 063</w:t>
            </w:r>
          </w:p>
        </w:tc>
        <w:tc>
          <w:tcPr>
            <w:tcW w:type="dxa" w:w="1514"/>
          </w:tcPr>
          <w:p>
            <w:pPr>
              <w:spacing w:before="20" w:after="20"/>
            </w:pPr>
            <w:r/>
            <w:r>
              <w:rPr>
                <w:rFonts w:ascii="Verdana" w:hAnsi="Verdana"/>
                <w:b w:val="0"/>
                <w:sz w:val="16"/>
              </w:rPr>
              <w:t>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0 15 064</w:t>
            </w:r>
          </w:p>
        </w:tc>
        <w:tc>
          <w:tcPr>
            <w:tcW w:type="dxa" w:w="1514"/>
          </w:tcPr>
          <w:p>
            <w:pPr>
              <w:spacing w:before="20" w:after="20"/>
            </w:pPr>
            <w:r/>
            <w:r>
              <w:rPr>
                <w:rFonts w:ascii="Verdana" w:hAnsi="Verdana"/>
                <w:b w:val="0"/>
                <w:sz w:val="16"/>
              </w:rPr>
              <w:t>Uncertainty in 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0 15 065</w:t>
            </w:r>
          </w:p>
        </w:tc>
        <w:tc>
          <w:tcPr>
            <w:tcW w:type="dxa" w:w="1514"/>
          </w:tcPr>
          <w:p>
            <w:pPr>
              <w:spacing w:before="20" w:after="20"/>
            </w:pPr>
            <w:r/>
            <w:r>
              <w:rPr>
                <w:rFonts w:ascii="Verdana" w:hAnsi="Verdana"/>
                <w:b w:val="0"/>
                <w:sz w:val="16"/>
              </w:rPr>
              <w:t>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0 15 066</w:t>
            </w:r>
          </w:p>
        </w:tc>
        <w:tc>
          <w:tcPr>
            <w:tcW w:type="dxa" w:w="1514"/>
          </w:tcPr>
          <w:p>
            <w:pPr>
              <w:spacing w:before="20" w:after="20"/>
            </w:pPr>
            <w:r/>
            <w:r>
              <w:rPr>
                <w:rFonts w:ascii="Verdana" w:hAnsi="Verdana"/>
                <w:b w:val="0"/>
                <w:sz w:val="16"/>
              </w:rPr>
              <w:t>Uncertainty in 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0 15 067</w:t>
            </w:r>
          </w:p>
        </w:tc>
        <w:tc>
          <w:tcPr>
            <w:tcW w:type="dxa" w:w="1514"/>
          </w:tcPr>
          <w:p>
            <w:pPr>
              <w:spacing w:before="20" w:after="20"/>
            </w:pPr>
            <w:r/>
            <w:r>
              <w:rPr>
                <w:rFonts w:ascii="Verdana" w:hAnsi="Verdana"/>
                <w:b w:val="0"/>
                <w:sz w:val="16"/>
              </w:rPr>
              <w:t>Particle extinction coefficient</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0 15 068</w:t>
            </w:r>
          </w:p>
        </w:tc>
        <w:tc>
          <w:tcPr>
            <w:tcW w:type="dxa" w:w="1514"/>
          </w:tcPr>
          <w:p>
            <w:pPr>
              <w:spacing w:before="20" w:after="20"/>
            </w:pPr>
            <w:r/>
            <w:r>
              <w:rPr>
                <w:rFonts w:ascii="Verdana" w:hAnsi="Verdana"/>
                <w:b w:val="0"/>
                <w:sz w:val="16"/>
              </w:rPr>
              <w:t>Uncertainty in particle extinction coefficient</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0 15 069</w:t>
            </w:r>
          </w:p>
        </w:tc>
        <w:tc>
          <w:tcPr>
            <w:tcW w:type="dxa" w:w="1514"/>
          </w:tcPr>
          <w:p>
            <w:pPr>
              <w:spacing w:before="20" w:after="20"/>
            </w:pPr>
            <w:r/>
            <w:r>
              <w:rPr>
                <w:rFonts w:ascii="Verdana" w:hAnsi="Verdana"/>
                <w:b w:val="0"/>
                <w:sz w:val="16"/>
              </w:rPr>
              <w:t>Particle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0 15 070</w:t>
            </w:r>
          </w:p>
        </w:tc>
        <w:tc>
          <w:tcPr>
            <w:tcW w:type="dxa" w:w="1514"/>
          </w:tcPr>
          <w:p>
            <w:pPr>
              <w:spacing w:before="20" w:after="20"/>
            </w:pPr>
            <w:r/>
            <w:r>
              <w:rPr>
                <w:rFonts w:ascii="Verdana" w:hAnsi="Verdana"/>
                <w:b w:val="0"/>
                <w:sz w:val="16"/>
              </w:rPr>
              <w:t>Uncertainty in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0 15 071</w:t>
            </w:r>
          </w:p>
        </w:tc>
        <w:tc>
          <w:tcPr>
            <w:tcW w:type="dxa" w:w="1514"/>
          </w:tcPr>
          <w:p>
            <w:pPr>
              <w:spacing w:before="20" w:after="20"/>
            </w:pPr>
            <w:r/>
            <w:r>
              <w:rPr>
                <w:rFonts w:ascii="Verdana" w:hAnsi="Verdana"/>
                <w:b w:val="0"/>
                <w:sz w:val="16"/>
              </w:rPr>
              <w:t>Particle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0 15 072</w:t>
            </w:r>
          </w:p>
        </w:tc>
        <w:tc>
          <w:tcPr>
            <w:tcW w:type="dxa" w:w="1514"/>
          </w:tcPr>
          <w:p>
            <w:pPr>
              <w:spacing w:before="20" w:after="20"/>
            </w:pPr>
            <w:r/>
            <w:r>
              <w:rPr>
                <w:rFonts w:ascii="Verdana" w:hAnsi="Verdana"/>
                <w:b w:val="0"/>
                <w:sz w:val="16"/>
              </w:rPr>
              <w:t>Uncertainty in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0 15 073</w:t>
            </w:r>
          </w:p>
        </w:tc>
        <w:tc>
          <w:tcPr>
            <w:tcW w:type="dxa" w:w="1514"/>
          </w:tcPr>
          <w:p>
            <w:pPr>
              <w:spacing w:before="20" w:after="20"/>
            </w:pPr>
            <w:r/>
            <w:r>
              <w:rPr>
                <w:rFonts w:ascii="Verdana" w:hAnsi="Verdana"/>
                <w:b w:val="0"/>
                <w:sz w:val="16"/>
              </w:rPr>
              <w:t>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0 15 074</w:t>
            </w:r>
          </w:p>
        </w:tc>
        <w:tc>
          <w:tcPr>
            <w:tcW w:type="dxa" w:w="1514"/>
          </w:tcPr>
          <w:p>
            <w:pPr>
              <w:spacing w:before="20" w:after="20"/>
            </w:pPr>
            <w:r/>
            <w:r>
              <w:rPr>
                <w:rFonts w:ascii="Verdana" w:hAnsi="Verdana"/>
                <w:b w:val="0"/>
                <w:sz w:val="16"/>
              </w:rPr>
              <w:t>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0 15 075</w:t>
            </w:r>
          </w:p>
        </w:tc>
        <w:tc>
          <w:tcPr>
            <w:tcW w:type="dxa" w:w="1514"/>
          </w:tcPr>
          <w:p>
            <w:pPr>
              <w:spacing w:before="20" w:after="20"/>
            </w:pPr>
            <w:r/>
            <w:r>
              <w:rPr>
                <w:rFonts w:ascii="Verdana" w:hAnsi="Verdana"/>
                <w:b w:val="0"/>
                <w:sz w:val="16"/>
              </w:rPr>
              <w:t>Particle extinction coefficient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0 15 076</w:t>
            </w:r>
          </w:p>
        </w:tc>
        <w:tc>
          <w:tcPr>
            <w:tcW w:type="dxa" w:w="1514"/>
          </w:tcPr>
          <w:p>
            <w:pPr>
              <w:spacing w:before="20" w:after="20"/>
            </w:pPr>
            <w:r/>
            <w:r>
              <w:rPr>
                <w:rFonts w:ascii="Verdana" w:hAnsi="Verdana"/>
                <w:b w:val="0"/>
                <w:sz w:val="16"/>
              </w:rPr>
              <w:t>Particle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0 15 077</w:t>
            </w:r>
          </w:p>
        </w:tc>
        <w:tc>
          <w:tcPr>
            <w:tcW w:type="dxa" w:w="1514"/>
          </w:tcPr>
          <w:p>
            <w:pPr>
              <w:spacing w:before="20" w:after="20"/>
            </w:pPr>
            <w:r/>
            <w:r>
              <w:rPr>
                <w:rFonts w:ascii="Verdana" w:hAnsi="Verdana"/>
                <w:b w:val="0"/>
                <w:sz w:val="16"/>
              </w:rPr>
              <w:t>Uncertainty in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0 15 078</w:t>
            </w:r>
          </w:p>
        </w:tc>
        <w:tc>
          <w:tcPr>
            <w:tcW w:type="dxa" w:w="1514"/>
          </w:tcPr>
          <w:p>
            <w:pPr>
              <w:spacing w:before="20" w:after="20"/>
            </w:pPr>
            <w:r/>
            <w:r>
              <w:rPr>
                <w:rFonts w:ascii="Verdana" w:hAnsi="Verdana"/>
                <w:b w:val="0"/>
                <w:sz w:val="16"/>
              </w:rPr>
              <w:t>Particle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0 15 079</w:t>
            </w:r>
          </w:p>
        </w:tc>
        <w:tc>
          <w:tcPr>
            <w:tcW w:type="dxa" w:w="1514"/>
          </w:tcPr>
          <w:p>
            <w:pPr>
              <w:spacing w:before="20" w:after="20"/>
            </w:pPr>
            <w:r/>
            <w:r>
              <w:rPr>
                <w:rFonts w:ascii="Verdana" w:hAnsi="Verdana"/>
                <w:b w:val="0"/>
                <w:sz w:val="16"/>
              </w:rPr>
              <w:t>Zenith 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5: As supplied by originating sub-centre ARINC, this value is a pseudo-value rather than the actual value. The Relationship between this pseudo-value and the true value is known only by ARINC.</w:t>
            </w:r>
          </w:p>
        </w:tc>
      </w:tr>
      <w:tr>
        <w:trPr>
          <w:cantSplit/>
        </w:trPr>
        <w:tc>
          <w:tcPr>
            <w:tcW w:type="dxa" w:w="1514"/>
          </w:tcPr>
          <w:p>
            <w:pPr>
              <w:spacing w:before="20" w:after="20"/>
            </w:pPr>
            <w:r/>
            <w:r>
              <w:rPr>
                <w:rFonts w:ascii="Verdana" w:hAnsi="Verdana"/>
                <w:b w:val="0"/>
                <w:sz w:val="16"/>
              </w:rPr>
              <w:t>0 15 080</w:t>
            </w:r>
          </w:p>
        </w:tc>
        <w:tc>
          <w:tcPr>
            <w:tcW w:type="dxa" w:w="1514"/>
          </w:tcPr>
          <w:p>
            <w:pPr>
              <w:spacing w:before="20" w:after="20"/>
            </w:pPr>
            <w:r/>
            <w:r>
              <w:rPr>
                <w:rFonts w:ascii="Verdana" w:hAnsi="Verdana"/>
                <w:b w:val="0"/>
                <w:sz w:val="16"/>
              </w:rPr>
              <w:t>Estimated error in neutral atmosphere zenith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0 15 081</w:t>
            </w:r>
          </w:p>
        </w:tc>
        <w:tc>
          <w:tcPr>
            <w:tcW w:type="dxa" w:w="1514"/>
          </w:tcPr>
          <w:p>
            <w:pPr>
              <w:spacing w:before="20" w:after="20"/>
            </w:pPr>
            <w:r/>
            <w:r>
              <w:rPr>
                <w:rFonts w:ascii="Verdana" w:hAnsi="Verdana"/>
                <w:b w:val="0"/>
                <w:sz w:val="16"/>
              </w:rPr>
              <w:t>Wet 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6: Code table values: FRQ = code figure 8 (8 oktas) OCNL EMBD = code figure 6 (6 oktas) ISOL = code figure 2 (2 oktas) when the cloud = Cb.</w:t>
            </w:r>
          </w:p>
        </w:tc>
      </w:tr>
      <w:tr>
        <w:trPr>
          <w:cantSplit/>
        </w:trPr>
        <w:tc>
          <w:tcPr>
            <w:tcW w:type="dxa" w:w="1514"/>
          </w:tcPr>
          <w:p>
            <w:pPr>
              <w:spacing w:before="20" w:after="20"/>
            </w:pPr>
            <w:r/>
            <w:r>
              <w:rPr>
                <w:rFonts w:ascii="Verdana" w:hAnsi="Verdana"/>
                <w:b w:val="0"/>
                <w:sz w:val="16"/>
              </w:rPr>
              <w:t>0 15 082</w:t>
            </w:r>
          </w:p>
        </w:tc>
        <w:tc>
          <w:tcPr>
            <w:tcW w:type="dxa" w:w="1514"/>
          </w:tcPr>
          <w:p>
            <w:pPr>
              <w:spacing w:before="20" w:after="20"/>
            </w:pPr>
            <w:r/>
            <w:r>
              <w:rPr>
                <w:rFonts w:ascii="Verdana" w:hAnsi="Verdana"/>
                <w:b w:val="0"/>
                <w:sz w:val="16"/>
              </w:rPr>
              <w:t>Path integrated water vapour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16: Each BUFR message may contain data for a number of locations; the BUFR compression technique involves negligible overheads for data items that are invariant.</w:t>
            </w:r>
          </w:p>
        </w:tc>
      </w:tr>
      <w:tr>
        <w:trPr>
          <w:cantSplit/>
        </w:trPr>
        <w:tc>
          <w:tcPr>
            <w:tcW w:type="dxa" w:w="1514"/>
          </w:tcPr>
          <w:p>
            <w:pPr>
              <w:spacing w:before="20" w:after="20"/>
            </w:pPr>
            <w:r/>
            <w:r>
              <w:rPr>
                <w:rFonts w:ascii="Verdana" w:hAnsi="Verdana"/>
                <w:b w:val="0"/>
                <w:sz w:val="16"/>
              </w:rPr>
              <w:t>0 15 083</w:t>
            </w:r>
          </w:p>
        </w:tc>
        <w:tc>
          <w:tcPr>
            <w:tcW w:type="dxa" w:w="1514"/>
          </w:tcPr>
          <w:p>
            <w:pPr>
              <w:spacing w:before="20" w:after="20"/>
            </w:pPr>
            <w:r/>
            <w:r>
              <w:rPr>
                <w:rFonts w:ascii="Verdana" w:hAnsi="Verdana"/>
                <w:b w:val="0"/>
                <w:sz w:val="16"/>
              </w:rPr>
              <w:t>GNSS derived neutral atmosphere gradient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7: Compound BUFR messages may be described within the data description section, if required (e.g. 3 01 041, 3 04 001, 3 04 002, 3 04 003, 3 04 004, 3 04 005, 3 04 006).</w:t>
            </w:r>
          </w:p>
        </w:tc>
      </w:tr>
      <w:tr>
        <w:trPr>
          <w:cantSplit/>
        </w:trPr>
        <w:tc>
          <w:tcPr>
            <w:tcW w:type="dxa" w:w="1514"/>
          </w:tcPr>
          <w:p>
            <w:pPr>
              <w:spacing w:before="20" w:after="20"/>
            </w:pPr>
            <w:r/>
            <w:r>
              <w:rPr>
                <w:rFonts w:ascii="Verdana" w:hAnsi="Verdana"/>
                <w:b w:val="0"/>
                <w:sz w:val="16"/>
              </w:rPr>
              <w:t>0 15 084</w:t>
            </w:r>
          </w:p>
        </w:tc>
        <w:tc>
          <w:tcPr>
            <w:tcW w:type="dxa" w:w="1514"/>
          </w:tcPr>
          <w:p>
            <w:pPr>
              <w:spacing w:before="20" w:after="20"/>
            </w:pPr>
            <w:r/>
            <w:r>
              <w:rPr>
                <w:rFonts w:ascii="Verdana" w:hAnsi="Verdana"/>
                <w:b w:val="0"/>
                <w:sz w:val="16"/>
              </w:rPr>
              <w:t>GNSS least squares residual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17: Each position of road sensors includes the measurements of: - Road surface temperature - Road subsurface temperatures - Water film thickness - Road surface condition</w:t>
            </w:r>
          </w:p>
        </w:tc>
      </w:tr>
      <w:tr>
        <w:trPr>
          <w:cantSplit/>
        </w:trPr>
        <w:tc>
          <w:tcPr>
            <w:tcW w:type="dxa" w:w="1514"/>
          </w:tcPr>
          <w:p>
            <w:pPr>
              <w:spacing w:before="20" w:after="20"/>
            </w:pPr>
            <w:r/>
            <w:r>
              <w:rPr>
                <w:rFonts w:ascii="Verdana" w:hAnsi="Verdana"/>
                <w:b w:val="0"/>
                <w:sz w:val="16"/>
              </w:rPr>
              <w:t>0 15 085</w:t>
            </w:r>
          </w:p>
        </w:tc>
        <w:tc>
          <w:tcPr>
            <w:tcW w:type="dxa" w:w="1514"/>
          </w:tcPr>
          <w:p>
            <w:pPr>
              <w:spacing w:before="20" w:after="20"/>
            </w:pPr>
            <w:r/>
            <w:r>
              <w:rPr>
                <w:rFonts w:ascii="Verdana" w:hAnsi="Verdana"/>
                <w:b w:val="0"/>
                <w:sz w:val="16"/>
              </w:rPr>
              <w:t>GNSS multi-path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8: Data represented by this sequence should be sorted in descending order with respect to pressure.</w:t>
            </w:r>
          </w:p>
        </w:tc>
      </w:tr>
      <w:tr>
        <w:trPr>
          <w:cantSplit/>
        </w:trPr>
        <w:tc>
          <w:tcPr>
            <w:tcW w:type="dxa" w:w="1514"/>
          </w:tcPr>
          <w:p>
            <w:pPr>
              <w:spacing w:before="20" w:after="20"/>
            </w:pPr>
            <w:r/>
            <w:r>
              <w:rPr>
                <w:rFonts w:ascii="Verdana" w:hAnsi="Verdana"/>
                <w:b w:val="0"/>
                <w:sz w:val="16"/>
              </w:rPr>
              <w:t>0 15 086</w:t>
            </w:r>
          </w:p>
        </w:tc>
        <w:tc>
          <w:tcPr>
            <w:tcW w:type="dxa" w:w="1514"/>
          </w:tcPr>
          <w:p>
            <w:pPr>
              <w:spacing w:before="20" w:after="20"/>
            </w:pPr>
            <w:r/>
            <w:r>
              <w:rPr>
                <w:rFonts w:ascii="Verdana" w:hAnsi="Verdana"/>
                <w:b w:val="0"/>
                <w:sz w:val="16"/>
              </w:rPr>
              <w:t>GNSS hydrostatic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0 15 087</w:t>
            </w:r>
          </w:p>
        </w:tc>
        <w:tc>
          <w:tcPr>
            <w:tcW w:type="dxa" w:w="1514"/>
          </w:tcPr>
          <w:p>
            <w:pPr>
              <w:spacing w:before="20" w:after="20"/>
            </w:pPr>
            <w:r/>
            <w:r>
              <w:rPr>
                <w:rFonts w:ascii="Verdana" w:hAnsi="Verdana"/>
                <w:b w:val="0"/>
                <w:sz w:val="16"/>
              </w:rPr>
              <w:t>GNSS wet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0 15 088</w:t>
            </w:r>
          </w:p>
        </w:tc>
        <w:tc>
          <w:tcPr>
            <w:tcW w:type="dxa" w:w="1514"/>
          </w:tcPr>
          <w:p>
            <w:pPr>
              <w:spacing w:before="20" w:after="20"/>
            </w:pPr>
            <w:r/>
            <w:r>
              <w:rPr>
                <w:rFonts w:ascii="Verdana" w:hAnsi="Verdana"/>
                <w:b w:val="0"/>
                <w:sz w:val="16"/>
              </w:rPr>
              <w:t>GNSS gradient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0 15 089</w:t>
            </w:r>
          </w:p>
        </w:tc>
        <w:tc>
          <w:tcPr>
            <w:tcW w:type="dxa" w:w="1514"/>
          </w:tcPr>
          <w:p>
            <w:pPr>
              <w:spacing w:before="20" w:after="20"/>
            </w:pPr>
            <w:r/>
            <w:r>
              <w:rPr>
                <w:rFonts w:ascii="Verdana" w:hAnsi="Verdana"/>
                <w:b w:val="0"/>
                <w:sz w:val="16"/>
              </w:rPr>
              <w:t>Zenith path delay due to neutral hydrostatic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18: No operator descriptors are reserved for local use.</w:t>
            </w:r>
          </w:p>
        </w:tc>
      </w:tr>
      <w:tr>
        <w:trPr>
          <w:cantSplit/>
        </w:trPr>
        <w:tc>
          <w:tcPr>
            <w:tcW w:type="dxa" w:w="1514"/>
          </w:tcPr>
          <w:p>
            <w:pPr>
              <w:spacing w:before="20" w:after="20"/>
            </w:pPr>
            <w:r/>
            <w:r>
              <w:rPr>
                <w:rFonts w:ascii="Verdana" w:hAnsi="Verdana"/>
                <w:b w:val="0"/>
                <w:sz w:val="16"/>
              </w:rPr>
              <w:t>0 15 090</w:t>
            </w:r>
          </w:p>
        </w:tc>
        <w:tc>
          <w:tcPr>
            <w:tcW w:type="dxa" w:w="1514"/>
          </w:tcPr>
          <w:p>
            <w:pPr>
              <w:spacing w:before="20" w:after="20"/>
            </w:pPr>
            <w:r/>
            <w:r>
              <w:rPr>
                <w:rFonts w:ascii="Verdana" w:hAnsi="Verdana"/>
                <w:b w:val="0"/>
                <w:sz w:val="16"/>
              </w:rPr>
              <w:t>Path delay due to neutral hydrostatic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Note 19: An event, as defined for use with operators 2 41 000 and 2 42 000, is a set of one or more circumstances described using appropriate Table B descriptors along with their corresponding data values. The grouping of such descriptors together as a single "event" allows them to be collectively assigned as the target of a separate descriptor such as 0 33 045 or 0 33 046. When defining a circumstance within an event, descriptor 0 33 042 may be employed preceding the appropriate Table B descriptor in order to indicate that the corresponding value is actually a bound for a range of values.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