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23: Dispersal and transport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Accident early notification - article applicable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Activity or facility involved in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Countermeasures taken near border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of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Incident situation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Characteristics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current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expected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Possibility of significant chemical toxic health effect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of major recipient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behaviour over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Actual release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release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of release point or site of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the atmosphere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ground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the atmosphere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ground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Possibility that plume will encounter precipitation in State in which incident occurred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Plume will encounter change in wind direction and/or speed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- river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- well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