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22: Chemical and aerosol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3 22 001</w:t>
            </w:r>
          </w:p>
        </w:tc>
        <w:tc>
          <w:tcPr>
            <w:tcW w:type="dxa" w:w="2163"/>
          </w:tcPr>
          <w:p>
            <w:pPr>
              <w:spacing w:before="20" w:after="20"/>
            </w:pPr>
            <w:r>
              <w:rPr>
                <w:b/>
              </w:rPr>
            </w:r>
            <w:r>
              <w:rPr>
                <w:rFonts w:ascii="Verdana" w:hAnsi="Verdana"/>
                <w:b/>
                <w:sz w:val="16"/>
              </w:rPr>
              <w:t>(Aerosol optical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3 10 022</w:t>
            </w:r>
          </w:p>
        </w:tc>
        <w:tc>
          <w:tcPr>
            <w:tcW w:type="dxa" w:w="2163"/>
          </w:tcPr>
          <w:p>
            <w:pPr>
              <w:spacing w:before="20" w:after="20"/>
            </w:pPr>
            <w:r/>
            <w:r>
              <w:rPr>
                <w:rFonts w:ascii="Verdana" w:hAnsi="Verdana"/>
                <w:b w:val="0"/>
                <w:sz w:val="16"/>
              </w:rPr>
              <w:t>Satellite identifier, instrument and product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Scan line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Field of view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0 27 080</w:t>
            </w:r>
          </w:p>
        </w:tc>
        <w:tc>
          <w:tcPr>
            <w:tcW w:type="dxa" w:w="2163"/>
          </w:tcPr>
          <w:p>
            <w:pPr>
              <w:spacing w:before="20" w:after="20"/>
            </w:pPr>
            <w:r/>
            <w:r>
              <w:rPr>
                <w:rFonts w:ascii="Verdana" w:hAnsi="Verdana"/>
                <w:b w:val="0"/>
                <w:sz w:val="16"/>
              </w:rPr>
              <w:t>Viewing azimuth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Solar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0 13 040</w:t>
            </w:r>
          </w:p>
        </w:tc>
        <w:tc>
          <w:tcPr>
            <w:tcW w:type="dxa" w:w="2163"/>
          </w:tcPr>
          <w:p>
            <w:pPr>
              <w:spacing w:before="20" w:after="20"/>
            </w:pPr>
            <w:r/>
            <w:r>
              <w:rPr>
                <w:rFonts w:ascii="Verdana" w:hAnsi="Verdana"/>
                <w:b w:val="0"/>
                <w:sz w:val="16"/>
              </w:rPr>
              <w:t>Surface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0 33 085</w:t>
            </w:r>
          </w:p>
        </w:tc>
        <w:tc>
          <w:tcPr>
            <w:tcW w:type="dxa" w:w="2163"/>
          </w:tcPr>
          <w:p>
            <w:pPr>
              <w:spacing w:before="20" w:after="20"/>
            </w:pPr>
            <w:r/>
            <w:r>
              <w:rPr>
                <w:rFonts w:ascii="Verdana" w:hAnsi="Verdana"/>
                <w:b w:val="0"/>
                <w:sz w:val="16"/>
              </w:rPr>
              <w:t>Aerosol optical thickness quality flags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0 33 115</w:t>
            </w:r>
          </w:p>
        </w:tc>
        <w:tc>
          <w:tcPr>
            <w:tcW w:type="dxa" w:w="2163"/>
          </w:tcPr>
          <w:p>
            <w:pPr>
              <w:spacing w:before="20" w:after="20"/>
            </w:pPr>
            <w:r/>
            <w:r>
              <w:rPr>
                <w:rFonts w:ascii="Verdana" w:hAnsi="Verdana"/>
                <w:b w:val="0"/>
                <w:sz w:val="16"/>
              </w:rPr>
              <w:t>Aerosol optical depth 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Replicate 5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0 08 099</w:t>
            </w:r>
          </w:p>
        </w:tc>
        <w:tc>
          <w:tcPr>
            <w:tcW w:type="dxa" w:w="2163"/>
          </w:tcPr>
          <w:p>
            <w:pPr>
              <w:spacing w:before="20" w:after="20"/>
            </w:pPr>
            <w:r/>
            <w:r>
              <w:rPr>
                <w:rFonts w:ascii="Verdana" w:hAnsi="Verdana"/>
                <w:b w:val="0"/>
                <w:sz w:val="16"/>
              </w:rPr>
              <w:t>Sensing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0 07 075</w:t>
            </w:r>
          </w:p>
        </w:tc>
        <w:tc>
          <w:tcPr>
            <w:tcW w:type="dxa" w:w="2163"/>
          </w:tcPr>
          <w:p>
            <w:pPr>
              <w:spacing w:before="20" w:after="20"/>
            </w:pPr>
            <w:r/>
            <w:r>
              <w:rPr>
                <w:rFonts w:ascii="Verdana" w:hAnsi="Verdana"/>
                <w:b w:val="0"/>
                <w:sz w:val="16"/>
              </w:rPr>
              <w:t>Scattering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0 07 076</w:t>
            </w:r>
          </w:p>
        </w:tc>
        <w:tc>
          <w:tcPr>
            <w:tcW w:type="dxa" w:w="2163"/>
          </w:tcPr>
          <w:p>
            <w:pPr>
              <w:spacing w:before="20" w:after="20"/>
            </w:pPr>
            <w:r/>
            <w:r>
              <w:rPr>
                <w:rFonts w:ascii="Verdana" w:hAnsi="Verdana"/>
                <w:b w:val="0"/>
                <w:sz w:val="16"/>
              </w:rPr>
              <w:t>Relative azimuth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0 02 071</w:t>
            </w:r>
          </w:p>
        </w:tc>
        <w:tc>
          <w:tcPr>
            <w:tcW w:type="dxa" w:w="2163"/>
          </w:tcPr>
          <w:p>
            <w:pPr>
              <w:spacing w:before="20" w:after="20"/>
            </w:pPr>
            <w:r/>
            <w:r>
              <w:rPr>
                <w:rFonts w:ascii="Verdana" w:hAnsi="Verdana"/>
                <w:b w:val="0"/>
                <w:sz w:val="16"/>
              </w:rPr>
              <w:t>Spectrographic wavelength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0 15 024</w:t>
            </w:r>
          </w:p>
        </w:tc>
        <w:tc>
          <w:tcPr>
            <w:tcW w:type="dxa" w:w="2163"/>
          </w:tcPr>
          <w:p>
            <w:pPr>
              <w:spacing w:before="20" w:after="20"/>
            </w:pPr>
            <w:r/>
            <w:r>
              <w:rPr>
                <w:rFonts w:ascii="Verdana" w:hAnsi="Verdana"/>
                <w:b w:val="0"/>
                <w:sz w:val="16"/>
              </w:rPr>
              <w:t>Optical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0 15 024</w:t>
            </w:r>
          </w:p>
        </w:tc>
        <w:tc>
          <w:tcPr>
            <w:tcW w:type="dxa" w:w="2163"/>
          </w:tcPr>
          <w:p>
            <w:pPr>
              <w:spacing w:before="20" w:after="20"/>
            </w:pPr>
            <w:r/>
            <w:r>
              <w:rPr>
                <w:rFonts w:ascii="Verdana" w:hAnsi="Verdana"/>
                <w:b w:val="0"/>
                <w:sz w:val="16"/>
              </w:rPr>
              <w:t>Optical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0 15 042</w:t>
            </w:r>
          </w:p>
        </w:tc>
        <w:tc>
          <w:tcPr>
            <w:tcW w:type="dxa" w:w="2163"/>
          </w:tcPr>
          <w:p>
            <w:pPr>
              <w:spacing w:before="20" w:after="20"/>
            </w:pPr>
            <w:r/>
            <w:r>
              <w:rPr>
                <w:rFonts w:ascii="Verdana" w:hAnsi="Verdana"/>
                <w:b w:val="0"/>
                <w:sz w:val="16"/>
              </w:rPr>
              <w:t>Reflectance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2 24 000</w:t>
            </w:r>
          </w:p>
        </w:tc>
        <w:tc>
          <w:tcPr>
            <w:tcW w:type="dxa" w:w="2163"/>
          </w:tcPr>
          <w:p>
            <w:pPr>
              <w:spacing w:before="20" w:after="20"/>
            </w:pPr>
            <w:r/>
            <w:r>
              <w:rPr>
                <w:rFonts w:ascii="Verdana" w:hAnsi="Verdana"/>
                <w:b w:val="0"/>
                <w:sz w:val="16"/>
              </w:rPr>
              <w:t>First-order statistical values follow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2 36 000</w:t>
            </w:r>
          </w:p>
        </w:tc>
        <w:tc>
          <w:tcPr>
            <w:tcW w:type="dxa" w:w="2163"/>
          </w:tcPr>
          <w:p>
            <w:pPr>
              <w:spacing w:before="20" w:after="20"/>
            </w:pPr>
            <w:r/>
            <w:r>
              <w:rPr>
                <w:rFonts w:ascii="Verdana" w:hAnsi="Verdana"/>
                <w:b w:val="0"/>
                <w:sz w:val="16"/>
              </w:rPr>
              <w:t>Define data present bit-map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0 31 031</w:t>
            </w:r>
          </w:p>
        </w:tc>
        <w:tc>
          <w:tcPr>
            <w:tcW w:type="dxa" w:w="2163"/>
          </w:tcPr>
          <w:p>
            <w:pPr>
              <w:spacing w:before="20" w:after="20"/>
            </w:pPr>
            <w:r/>
            <w:r>
              <w:rPr>
                <w:rFonts w:ascii="Verdana" w:hAnsi="Verdana"/>
                <w:b w:val="0"/>
                <w:sz w:val="16"/>
              </w:rPr>
              <w:t>Data present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Generating application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2 24 255</w:t>
            </w:r>
          </w:p>
        </w:tc>
        <w:tc>
          <w:tcPr>
            <w:tcW w:type="dxa" w:w="2163"/>
          </w:tcPr>
          <w:p>
            <w:pPr>
              <w:spacing w:before="20" w:after="20"/>
            </w:pPr>
            <w:r/>
            <w:r>
              <w:rPr>
                <w:rFonts w:ascii="Verdana" w:hAnsi="Verdana"/>
                <w:b w:val="0"/>
                <w:sz w:val="16"/>
              </w:rPr>
              <w:t>First-order statistical values marker operator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3 22 028</w:t>
            </w:r>
          </w:p>
        </w:tc>
        <w:tc>
          <w:tcPr>
            <w:tcW w:type="dxa" w:w="2163"/>
          </w:tcPr>
          <w:p>
            <w:pPr>
              <w:spacing w:before="20" w:after="20"/>
            </w:pPr>
            <w:r>
              <w:rPr>
                <w:b/>
              </w:rPr>
            </w:r>
            <w:r>
              <w:rPr>
                <w:rFonts w:ascii="Verdana" w:hAnsi="Verdana"/>
                <w:b/>
                <w:sz w:val="16"/>
              </w:rPr>
              <w:t>(METOP GOME-2)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0 10 001</w:t>
            </w:r>
          </w:p>
        </w:tc>
        <w:tc>
          <w:tcPr>
            <w:tcW w:type="dxa" w:w="2163"/>
          </w:tcPr>
          <w:p>
            <w:pPr>
              <w:spacing w:before="20" w:after="20"/>
            </w:pPr>
            <w:r/>
            <w:r>
              <w:rPr>
                <w:rFonts w:ascii="Verdana" w:hAnsi="Verdana"/>
                <w:b w:val="0"/>
                <w:sz w:val="16"/>
              </w:rPr>
              <w:t>Height of land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0 14 019</w:t>
            </w:r>
          </w:p>
        </w:tc>
        <w:tc>
          <w:tcPr>
            <w:tcW w:type="dxa" w:w="2163"/>
          </w:tcPr>
          <w:p>
            <w:pPr>
              <w:spacing w:before="20" w:after="20"/>
            </w:pPr>
            <w:r/>
            <w:r>
              <w:rPr>
                <w:rFonts w:ascii="Verdana" w:hAnsi="Verdana"/>
                <w:b w:val="0"/>
                <w:sz w:val="16"/>
              </w:rPr>
              <w:t>Surface albedo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0 10 080</w:t>
            </w:r>
          </w:p>
        </w:tc>
        <w:tc>
          <w:tcPr>
            <w:tcW w:type="dxa" w:w="2163"/>
          </w:tcPr>
          <w:p>
            <w:pPr>
              <w:spacing w:before="20" w:after="20"/>
            </w:pPr>
            <w:r/>
            <w:r>
              <w:rPr>
                <w:rFonts w:ascii="Verdana" w:hAnsi="Verdana"/>
                <w:b w:val="0"/>
                <w:sz w:val="16"/>
              </w:rPr>
              <w:t>Viewing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0 05 023</w:t>
            </w:r>
          </w:p>
        </w:tc>
        <w:tc>
          <w:tcPr>
            <w:tcW w:type="dxa" w:w="2163"/>
          </w:tcPr>
          <w:p>
            <w:pPr>
              <w:spacing w:before="20" w:after="20"/>
            </w:pPr>
            <w:r/>
            <w:r>
              <w:rPr>
                <w:rFonts w:ascii="Verdana" w:hAnsi="Verdana"/>
                <w:b w:val="0"/>
                <w:sz w:val="16"/>
              </w:rPr>
              <w:t>Sun to satellite azimuth difference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Vertical significance (satellite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0 14 026</w:t>
            </w:r>
          </w:p>
        </w:tc>
        <w:tc>
          <w:tcPr>
            <w:tcW w:type="dxa" w:w="2163"/>
          </w:tcPr>
          <w:p>
            <w:pPr>
              <w:spacing w:before="20" w:after="20"/>
            </w:pPr>
            <w:r/>
            <w:r>
              <w:rPr>
                <w:rFonts w:ascii="Verdana" w:hAnsi="Verdana"/>
                <w:b w:val="0"/>
                <w:sz w:val="16"/>
              </w:rPr>
              <w:t>Albedo at the top of clouds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Height of top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0 13 093</w:t>
            </w:r>
          </w:p>
        </w:tc>
        <w:tc>
          <w:tcPr>
            <w:tcW w:type="dxa" w:w="2163"/>
          </w:tcPr>
          <w:p>
            <w:pPr>
              <w:spacing w:before="20" w:after="20"/>
            </w:pPr>
            <w:r/>
            <w:r>
              <w:rPr>
                <w:rFonts w:ascii="Verdana" w:hAnsi="Verdana"/>
                <w:b w:val="0"/>
                <w:sz w:val="16"/>
              </w:rPr>
              <w:t>Cloud optical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0 08 044</w:t>
            </w:r>
          </w:p>
        </w:tc>
        <w:tc>
          <w:tcPr>
            <w:tcW w:type="dxa" w:w="2163"/>
          </w:tcPr>
          <w:p>
            <w:pPr>
              <w:spacing w:before="20" w:after="20"/>
            </w:pPr>
            <w:r/>
            <w:r>
              <w:rPr>
                <w:rFonts w:ascii="Verdana" w:hAnsi="Verdana"/>
                <w:b w:val="0"/>
                <w:sz w:val="16"/>
              </w:rPr>
              <w:t>CAS registry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0 15 021</w:t>
            </w:r>
          </w:p>
        </w:tc>
        <w:tc>
          <w:tcPr>
            <w:tcW w:type="dxa" w:w="2163"/>
          </w:tcPr>
          <w:p>
            <w:pPr>
              <w:spacing w:before="20" w:after="20"/>
            </w:pPr>
            <w:r/>
            <w:r>
              <w:rPr>
                <w:rFonts w:ascii="Verdana" w:hAnsi="Verdana"/>
                <w:b w:val="0"/>
                <w:sz w:val="16"/>
              </w:rPr>
              <w:t>Integrated mass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