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00: Entradas de las tablas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98: Las tablas maestras están descritas en la nota 2 de la Sección 1 de las reglas BUFR (parte de la regla titulada “Especificación del contenido de octetos”).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33: Para elementos que definen o son definidos es preferible utilizar los diferentes descriptores de la Clase 00, del mismo modo que los diferentes descriptores corresponden a la presión considerada como coordenada o a la presión medida en determinado punto; de otra manera se necesitarían reglas especiales para interpretar un mensaje. Las entradas 0 00 010 a 0 00 012 definen a F, X e Y para las Tablas B y D; la entrada 0 00 030 es un descriptor que se utiliza para datos y proporciona los valores de F, X e Y que definen secuencias para las entradas de la Tabla 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Los niveles no superficiales sobre la coordenada vertical nativa del modelo son transpuestos a una coordenada de presión. Con ello, los niveles son más fácilmente interpretables por las personas y más fáciles de utilizar por aplicaciones de visualización genéricas. Los niveles pueden corresponder exactamente a niveles nativos del modelo o haber sido interpolados entre niveles del modelo a unos niveles de presión seleccionados por el centro generador.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En 3 07 045, 3 07 048 y 3 07 053, la velocidad del viento se indicará en las mismas unidades que en los datos alfanuméricos originales, y: 0 11 083 se fijará en faltante si la velocidad del viento figura en nudos o en m s–1 en los datos alfanuméricos, 0 11 084 se fijará en faltante si la velocidad del viento figura en km h–1 o en m s–1 en los datos alfanuméricos.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