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 Componentes físicos/químicos</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Ozono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Masa de aire (correspondiente a una trayectoria oblicua a una altura de 22 km)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Presión parcial del ozono medido</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El descriptor 3 04 035 se ha relegado.</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Factor de corrección de sondeo del ozono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La secuencia 3 07 082 se ha relegado.</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del ozono</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El descriptor 3 10 027 ha dejado de usarse.</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densidad numérica de la atmósfera</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Significando del cociente de mezclado volumétrico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densidad numérica de ozono</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Logaritmo10 de la densidad de electrones integrada</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Recuento total de electrones por m²</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Componente espectral máximo de la imagen antes de la normalización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Densidad del ozono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Densidad de masa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Espesor óptico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Tipo de contamite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Concentración del contamite (mol mol-1)</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Concentración del contamite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Fracción molar del componente/contamite atmosférico en el aire seco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Coeficiente de extinción</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Índice de contaminación por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Retraso del trayecto atmosférico en la señal del satélite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Error estimado en un retraso de trayecto atmosférico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Diferencia en retrasos de trayecto para visiones del limbo en extremos de la exploración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Error estimado en la diferencia de retraso de trayecto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Componente del retraso del trayecto cenital debido al vapor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Refractividad atmosférica</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La refractividad, N, está relacionada con el índice de refracción n mediante la fórmula N = 106 (n - 1). Por consiguiente, N carece de dimensiones, pero los valores calculados mediante la fórmula se expresan convencionalmente en “unidades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Ángulo de curvatura</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Retraso del trayecto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Error estimado en el retraso del trayecto atmosférico en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Índice de dióxido de azufre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Reflectancia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Dióxido de azufre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Índice de contaminación por volcanes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Para este descriptor, las unidades representan la desviación climatológica estándar del valor del ozono troposférico para una latitud determinada. Por valor de 5,0 indica un perfil con un valor del ozono troposférico de 5,0 respecto de la desviación estándar superior al promedio climatológico. ejemplo, un</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Exponente de Angstrom de longitud de onda para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Alcance óptico meteorológico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densidad numérica de partículas de aerosol con un diámetro superior a 5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densidad numérica de partículas de aerosol con un diámetro superior a 14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densidad numérica de partículas de aerosol con un diámetro comprendido entre 0,25 y 2,5 μm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Proporción de aerosoles no volátiles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Espesor óptico de los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Incertidumbre en la 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Incertidumbre en el 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Incertidumbre en el 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Ratio lidar partículas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Incertidumbre en el 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Ratio partículas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Error estimado en el 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Retraso del trayecto húmedo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Vapor de agua integrado en el trayecto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16: La identificación de la hora se refiere al comienzo del período de un mes.</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Gradiente en atmósfera neutra estimado a través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7: Los mensajes BUFR compuestos pueden describirse dentro de la Sección de descripción de datos, según corresponda (por ejemplo: 3 01 041, 3 04 001, 3 04 002, 3 04 003, 3 04 004, 3 04 005, 3 04 006).</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Residuos de mínimos cuadrados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Retraso por efectos multitrayecto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8: Los datos representados por esta secuencia deben ordenarse en orden descendiente respecto de la presión.</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Función de mapeo hidrostático del GNSS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Función de mapeo húmedo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Función de mapeo de gradiente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Retraso del trayecto cenital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18: Ningún descriptor de operadores se reserva para uso local.</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Retraso del trayecto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19: Un suceso, como se define para su uso con los operadores 2 41 000 y 2 42 000, es una serie de una o más circunstancias descrita usando descriptores de la Tabla B adecuados junto con sus correspondientes valores de datos. El agrupamiento de tales descriptores en conjunto considerados como un solo “suceso” les permite ser asignados colectivamente como el objetivo de un descriptor separado como el 0 33 045 o el 0 33 046. Cuando define una circunstancia dentro de un suceso, el descriptor 0 33 042 puede emplearse precediendo al descriptor adecuado de la Tabla B para indicar que el valor correspondiente es en realidad el límite de una gama de valores.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