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19: Características sinópticas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característica sinóptica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efectivo de la característica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138: El radio real de la característica se definirá en función del radio de la isobara de 1000 hPa al nivel medio del mar.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Umbral de la velocidad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Se indicarán el viento máximo y el radio efectivo del viento máximo mediante las referencias 0 19 003 y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efectivo de las velocidades del viento por encima del umbral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Se indicarán el viento máximo y el radio efectivo del viento máximo mediante las referencias 0 19 003 y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desplazamiento de la característica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Para representar el intervalo de tiempo requerido, se debe incluir dos veces el descriptor 0 04 024.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desplazamiento de la característica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Para representar el intervalo de tiempo requerido, se debe incluir dos veces el descriptor 0 04 024.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efectivo de la característica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Extensión vertical de la circulación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efectivo con respecto a velocidad del viento por encima del umbral (tormentas importantes)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seguimiento del centro de la característica sinóptica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tiempo para calcular el desplazamiento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la posición del centro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 y definición del ojo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Diámetro del eje principal del ojo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naturaleza del ojo durante los 30 minutos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entre el extremo de la banda en espiral y el centro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identificación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tiempo sobre el que se ha calculado el movimiento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la posición geográfica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Diámetro medio de la cobertura nubosa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aparente en 24 horas de la intensidad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intensidad actual (CI)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"tropical-datos" (DT)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configuración nubosa del número de DT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"tropical-predicción de modelo" (MET)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tendencia en las 24 horas anteriores (+: Desarrollado,-: Debilitado)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"tropical-patrón" (PT)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imagen de la nube del número de PT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tropical final (T)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del número T final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Internacional Común del Tifón (Comité de Tifones)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